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lang w:eastAsia="zh-CN"/>
        </w:rPr>
        <w:t>四川省医疗保障信息大数据一体化平台药品和医用耗材招采管理子系统种植体带量采购专区</w:t>
      </w:r>
      <w:r>
        <w:rPr>
          <w:rFonts w:hint="eastAsia" w:ascii="宋体" w:hAnsi="宋体"/>
          <w:sz w:val="58"/>
          <w:szCs w:val="52"/>
        </w:rPr>
        <w:t>操作指引</w:t>
      </w:r>
    </w:p>
    <w:p>
      <w:pPr>
        <w:spacing w:line="360" w:lineRule="auto"/>
        <w:jc w:val="center"/>
        <w:rPr>
          <w:rFonts w:ascii="宋体" w:hAnsi="宋体"/>
          <w:sz w:val="58"/>
          <w:szCs w:val="52"/>
        </w:rPr>
      </w:pPr>
      <w:r>
        <w:rPr>
          <w:rFonts w:hint="eastAsia" w:ascii="宋体" w:hAnsi="宋体"/>
          <w:sz w:val="58"/>
          <w:szCs w:val="52"/>
        </w:rPr>
        <w:t>（</w:t>
      </w:r>
      <w:r>
        <w:rPr>
          <w:rFonts w:hint="eastAsia" w:ascii="宋体" w:hAnsi="宋体"/>
          <w:sz w:val="58"/>
          <w:szCs w:val="52"/>
          <w:lang w:eastAsia="zh-CN"/>
        </w:rPr>
        <w:t>配送</w:t>
      </w:r>
      <w:r>
        <w:rPr>
          <w:rFonts w:hint="eastAsia" w:ascii="宋体" w:hAnsi="宋体"/>
          <w:sz w:val="58"/>
          <w:szCs w:val="52"/>
        </w:rPr>
        <w:t>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4</w:t>
      </w:r>
      <w:r>
        <w:rPr>
          <w:rFonts w:hint="eastAsia" w:ascii="宋体" w:hAnsi="宋体"/>
          <w:sz w:val="32"/>
          <w:szCs w:val="32"/>
        </w:rPr>
        <w:t>年4月</w:t>
      </w:r>
    </w:p>
    <w:sdt>
      <w:sdtPr>
        <w:rPr>
          <w:rFonts w:ascii="Calibri" w:hAnsi="Calibri" w:eastAsia="宋体" w:cs="Times New Roman"/>
          <w:color w:val="auto"/>
          <w:kern w:val="2"/>
          <w:sz w:val="21"/>
          <w:szCs w:val="22"/>
          <w:lang w:val="zh-CN"/>
        </w:rPr>
        <w:id w:val="1600608064"/>
        <w:docPartObj>
          <w:docPartGallery w:val="Table of Contents"/>
          <w:docPartUnique/>
        </w:docPartObj>
      </w:sdtPr>
      <w:sdtEndPr>
        <w:rPr>
          <w:rFonts w:ascii="Calibri" w:hAnsi="Calibri" w:eastAsia="宋体" w:cs="Times New Roman"/>
          <w:color w:val="auto"/>
          <w:kern w:val="2"/>
          <w:sz w:val="21"/>
          <w:szCs w:val="22"/>
          <w:lang w:val="zh-CN"/>
        </w:rPr>
      </w:sdtEndPr>
      <w:sdtContent>
        <w:p>
          <w:pPr>
            <w:spacing w:before="0" w:beforeLines="0" w:after="0" w:afterLines="0" w:line="240" w:lineRule="auto"/>
            <w:ind w:left="0" w:leftChars="0" w:right="0" w:rightChars="0" w:firstLine="0" w:firstLineChars="0"/>
            <w:jc w:val="center"/>
          </w:pPr>
          <w:bookmarkStart w:id="32" w:name="_GoBack"/>
          <w:bookmarkEnd w:id="32"/>
          <w:bookmarkStart w:id="0" w:name="_Toc465429392"/>
          <w:bookmarkStart w:id="1" w:name="_Toc527029693"/>
          <w:bookmarkStart w:id="2" w:name="_Toc527023996"/>
          <w:r>
            <w:rPr>
              <w:rFonts w:ascii="宋体" w:hAnsi="宋体" w:eastAsia="宋体"/>
              <w:sz w:val="21"/>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_Toc15917 </w:instrText>
          </w:r>
          <w:r>
            <w:fldChar w:fldCharType="separate"/>
          </w:r>
          <w:r>
            <w:rPr>
              <w:rFonts w:hint="eastAsia" w:ascii="宋体" w:hAnsi="宋体"/>
            </w:rPr>
            <w:t>第一章 使用须知</w:t>
          </w:r>
          <w:r>
            <w:tab/>
          </w:r>
          <w:r>
            <w:fldChar w:fldCharType="begin"/>
          </w:r>
          <w:r>
            <w:instrText xml:space="preserve"> PAGEREF _Toc15917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_Toc26625 </w:instrText>
          </w:r>
          <w:r>
            <w:fldChar w:fldCharType="separate"/>
          </w:r>
          <w:r>
            <w:rPr>
              <w:rFonts w:hint="eastAsia" w:ascii="宋体" w:hAnsi="宋体"/>
            </w:rPr>
            <w:t>第二章 账号领取与登录系统</w:t>
          </w:r>
          <w:r>
            <w:tab/>
          </w:r>
          <w:r>
            <w:fldChar w:fldCharType="begin"/>
          </w:r>
          <w:r>
            <w:instrText xml:space="preserve"> PAGEREF _Toc26625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_Toc615 </w:instrText>
          </w:r>
          <w:r>
            <w:fldChar w:fldCharType="separate"/>
          </w:r>
          <w:r>
            <w:rPr>
              <w:rFonts w:hint="eastAsia" w:ascii="宋体" w:hAnsi="宋体"/>
            </w:rPr>
            <w:t>2.1 用户登录与退出</w:t>
          </w:r>
          <w:r>
            <w:tab/>
          </w:r>
          <w:r>
            <w:fldChar w:fldCharType="begin"/>
          </w:r>
          <w:r>
            <w:instrText xml:space="preserve"> PAGEREF _Toc615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_Toc21891 </w:instrText>
          </w:r>
          <w:r>
            <w:fldChar w:fldCharType="separate"/>
          </w:r>
          <w:r>
            <w:rPr>
              <w:rFonts w:hint="eastAsia"/>
              <w:highlight w:val="lightGray"/>
            </w:rPr>
            <w:t>第三章</w:t>
          </w:r>
          <w:r>
            <w:t xml:space="preserve"> </w:t>
          </w:r>
          <w:r>
            <w:rPr>
              <w:rFonts w:hint="eastAsia"/>
              <w:lang w:eastAsia="zh-CN"/>
            </w:rPr>
            <w:t>种植体带量采购合同管理</w:t>
          </w:r>
          <w:r>
            <w:tab/>
          </w:r>
          <w:r>
            <w:fldChar w:fldCharType="begin"/>
          </w:r>
          <w:r>
            <w:instrText xml:space="preserve"> PAGEREF _Toc21891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_Toc23676 </w:instrText>
          </w:r>
          <w:r>
            <w:fldChar w:fldCharType="separate"/>
          </w:r>
          <w:r>
            <w:rPr>
              <w:rFonts w:hint="eastAsia" w:ascii="宋体" w:hAnsi="宋体"/>
            </w:rPr>
            <w:t xml:space="preserve">3.1 </w:t>
          </w:r>
          <w:r>
            <w:rPr>
              <w:rFonts w:hint="eastAsia" w:ascii="宋体" w:hAnsi="宋体"/>
              <w:lang w:eastAsia="zh-CN"/>
            </w:rPr>
            <w:t>商品列表</w:t>
          </w:r>
          <w:r>
            <w:tab/>
          </w:r>
          <w:r>
            <w:fldChar w:fldCharType="begin"/>
          </w:r>
          <w:r>
            <w:instrText xml:space="preserve"> PAGEREF _Toc23676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_Toc6595 </w:instrText>
          </w:r>
          <w:r>
            <w:fldChar w:fldCharType="separate"/>
          </w:r>
          <w:r>
            <w:rPr>
              <w:rFonts w:hint="eastAsia" w:ascii="宋体" w:hAnsi="宋体"/>
            </w:rPr>
            <w:t xml:space="preserve">3.2 </w:t>
          </w:r>
          <w:r>
            <w:rPr>
              <w:rFonts w:hint="eastAsia" w:ascii="宋体" w:hAnsi="宋体"/>
              <w:lang w:eastAsia="zh-CN"/>
            </w:rPr>
            <w:t>配送关系确认</w:t>
          </w:r>
          <w:r>
            <w:tab/>
          </w:r>
          <w:r>
            <w:fldChar w:fldCharType="begin"/>
          </w:r>
          <w:r>
            <w:instrText xml:space="preserve"> PAGEREF _Toc6595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_Toc14474 </w:instrText>
          </w:r>
          <w:r>
            <w:fldChar w:fldCharType="separate"/>
          </w:r>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合同列表</w:t>
          </w:r>
          <w:r>
            <w:tab/>
          </w:r>
          <w:r>
            <w:fldChar w:fldCharType="begin"/>
          </w:r>
          <w:r>
            <w:instrText xml:space="preserve"> PAGEREF _Toc14474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_Toc12499 </w:instrText>
          </w:r>
          <w:r>
            <w:fldChar w:fldCharType="separate"/>
          </w:r>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合同签章</w:t>
          </w:r>
          <w:r>
            <w:tab/>
          </w:r>
          <w:r>
            <w:fldChar w:fldCharType="begin"/>
          </w:r>
          <w:r>
            <w:instrText xml:space="preserve"> PAGEREF _Toc12499 \h </w:instrText>
          </w:r>
          <w:r>
            <w:fldChar w:fldCharType="separate"/>
          </w:r>
          <w:r>
            <w:t>7</w:t>
          </w:r>
          <w:r>
            <w:fldChar w:fldCharType="end"/>
          </w:r>
          <w:r>
            <w:fldChar w:fldCharType="end"/>
          </w:r>
        </w:p>
        <w:p>
          <w:pPr>
            <w:pStyle w:val="4"/>
            <w:tabs>
              <w:tab w:val="right" w:leader="dot" w:pos="8306"/>
            </w:tabs>
          </w:pPr>
          <w:r>
            <w:fldChar w:fldCharType="begin"/>
          </w:r>
          <w:r>
            <w:instrText xml:space="preserve"> HYPERLINK \l _Toc205 </w:instrText>
          </w:r>
          <w:r>
            <w:fldChar w:fldCharType="separate"/>
          </w:r>
          <w:r>
            <w:rPr>
              <w:rFonts w:hint="eastAsia"/>
              <w:highlight w:val="lightGray"/>
            </w:rPr>
            <w:t>第</w:t>
          </w:r>
          <w:r>
            <w:rPr>
              <w:rFonts w:hint="eastAsia"/>
              <w:highlight w:val="lightGray"/>
              <w:lang w:eastAsia="zh-CN"/>
            </w:rPr>
            <w:t>四</w:t>
          </w:r>
          <w:r>
            <w:rPr>
              <w:rFonts w:hint="eastAsia"/>
              <w:highlight w:val="lightGray"/>
            </w:rPr>
            <w:t>章</w:t>
          </w:r>
          <w:r>
            <w:t xml:space="preserve"> </w:t>
          </w:r>
          <w:r>
            <w:rPr>
              <w:rFonts w:hint="eastAsia"/>
              <w:lang w:eastAsia="zh-CN"/>
            </w:rPr>
            <w:t>种植体带量采购订单管理</w:t>
          </w:r>
          <w:r>
            <w:tab/>
          </w:r>
          <w:r>
            <w:fldChar w:fldCharType="begin"/>
          </w:r>
          <w:r>
            <w:instrText xml:space="preserve"> PAGEREF _Toc205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_Toc588 </w:instrText>
          </w:r>
          <w:r>
            <w:fldChar w:fldCharType="separate"/>
          </w:r>
          <w:r>
            <w:rPr>
              <w:rFonts w:hint="eastAsia" w:ascii="宋体" w:hAnsi="宋体"/>
              <w:lang w:val="en-US" w:eastAsia="zh-CN"/>
            </w:rPr>
            <w:t>4.1</w:t>
          </w:r>
          <w:r>
            <w:rPr>
              <w:rFonts w:hint="eastAsia" w:ascii="宋体" w:hAnsi="宋体"/>
            </w:rPr>
            <w:t xml:space="preserve"> </w:t>
          </w:r>
          <w:r>
            <w:rPr>
              <w:rFonts w:hint="eastAsia" w:ascii="宋体" w:hAnsi="宋体"/>
              <w:lang w:eastAsia="zh-CN"/>
            </w:rPr>
            <w:t>订单配送</w:t>
          </w:r>
          <w:r>
            <w:tab/>
          </w:r>
          <w:r>
            <w:fldChar w:fldCharType="begin"/>
          </w:r>
          <w:r>
            <w:instrText xml:space="preserve"> PAGEREF _Toc588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_Toc5559 </w:instrText>
          </w:r>
          <w:r>
            <w:fldChar w:fldCharType="separate"/>
          </w:r>
          <w:r>
            <w:rPr>
              <w:rFonts w:hint="eastAsia" w:ascii="宋体" w:hAnsi="宋体"/>
              <w:lang w:val="en-US" w:eastAsia="zh-CN"/>
            </w:rPr>
            <w:t>4.2</w:t>
          </w:r>
          <w:r>
            <w:rPr>
              <w:rFonts w:hint="eastAsia" w:ascii="宋体" w:hAnsi="宋体"/>
            </w:rPr>
            <w:t xml:space="preserve"> </w:t>
          </w:r>
          <w:r>
            <w:rPr>
              <w:rFonts w:hint="eastAsia" w:ascii="宋体" w:hAnsi="宋体"/>
              <w:lang w:eastAsia="zh-CN"/>
            </w:rPr>
            <w:t>退货确认</w:t>
          </w:r>
          <w:r>
            <w:tab/>
          </w:r>
          <w:r>
            <w:fldChar w:fldCharType="begin"/>
          </w:r>
          <w:r>
            <w:instrText xml:space="preserve"> PAGEREF _Toc5559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_Toc3887 </w:instrText>
          </w:r>
          <w:r>
            <w:fldChar w:fldCharType="separate"/>
          </w:r>
          <w:r>
            <w:rPr>
              <w:rFonts w:hint="eastAsia" w:ascii="宋体" w:hAnsi="宋体"/>
              <w:lang w:val="en-US" w:eastAsia="zh-CN"/>
            </w:rPr>
            <w:t>4.3</w:t>
          </w:r>
          <w:r>
            <w:rPr>
              <w:rFonts w:hint="eastAsia" w:ascii="宋体" w:hAnsi="宋体"/>
            </w:rPr>
            <w:t xml:space="preserve"> </w:t>
          </w:r>
          <w:r>
            <w:rPr>
              <w:rFonts w:hint="eastAsia" w:ascii="宋体" w:hAnsi="宋体"/>
              <w:lang w:eastAsia="zh-CN"/>
            </w:rPr>
            <w:t>退货发票维护</w:t>
          </w:r>
          <w:r>
            <w:tab/>
          </w:r>
          <w:r>
            <w:fldChar w:fldCharType="begin"/>
          </w:r>
          <w:r>
            <w:instrText xml:space="preserve"> PAGEREF _Toc3887 \h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_Toc21838 </w:instrText>
          </w:r>
          <w:r>
            <w:fldChar w:fldCharType="separate"/>
          </w:r>
          <w:r>
            <w:rPr>
              <w:rFonts w:hint="eastAsia" w:ascii="宋体" w:hAnsi="宋体"/>
              <w:lang w:val="en-US" w:eastAsia="zh-CN"/>
            </w:rPr>
            <w:t>4.4</w:t>
          </w:r>
          <w:r>
            <w:rPr>
              <w:rFonts w:hint="eastAsia" w:ascii="宋体" w:hAnsi="宋体"/>
            </w:rPr>
            <w:t xml:space="preserve"> </w:t>
          </w:r>
          <w:r>
            <w:rPr>
              <w:rFonts w:hint="eastAsia" w:ascii="宋体" w:hAnsi="宋体"/>
              <w:lang w:eastAsia="zh-CN"/>
            </w:rPr>
            <w:t>发票维护</w:t>
          </w:r>
          <w:r>
            <w:tab/>
          </w:r>
          <w:r>
            <w:fldChar w:fldCharType="begin"/>
          </w:r>
          <w:r>
            <w:instrText xml:space="preserve"> PAGEREF _Toc21838 \h </w:instrText>
          </w:r>
          <w:r>
            <w:fldChar w:fldCharType="separate"/>
          </w:r>
          <w:r>
            <w:t>9</w:t>
          </w:r>
          <w:r>
            <w:fldChar w:fldCharType="end"/>
          </w:r>
          <w:r>
            <w:fldChar w:fldCharType="end"/>
          </w:r>
        </w:p>
        <w:p>
          <w:pPr>
            <w:pStyle w:val="5"/>
            <w:tabs>
              <w:tab w:val="right" w:leader="dot" w:pos="8296"/>
            </w:tabs>
          </w:pPr>
          <w:r>
            <w:fldChar w:fldCharType="end"/>
          </w:r>
        </w:p>
      </w:sdtContent>
    </w:sdt>
    <w:p>
      <w:pPr>
        <w:widowControl/>
        <w:jc w:val="left"/>
        <w:rPr>
          <w:rFonts w:ascii="宋体" w:hAnsi="宋体"/>
          <w:b/>
          <w:bCs/>
          <w:kern w:val="44"/>
          <w:sz w:val="44"/>
          <w:szCs w:val="44"/>
        </w:rPr>
      </w:pPr>
      <w:r>
        <w:rPr>
          <w:rFonts w:hint="eastAsia" w:ascii="宋体" w:hAnsi="宋体"/>
        </w:rPr>
        <w:br w:type="page"/>
      </w:r>
    </w:p>
    <w:p>
      <w:pPr>
        <w:pStyle w:val="2"/>
        <w:rPr>
          <w:rFonts w:ascii="宋体" w:hAnsi="宋体"/>
        </w:rPr>
      </w:pPr>
      <w:bookmarkStart w:id="3" w:name="_Toc15917"/>
      <w:bookmarkStart w:id="4" w:name="_Toc17241"/>
      <w:r>
        <w:rPr>
          <w:rFonts w:hint="eastAsia" w:ascii="宋体" w:hAnsi="宋体"/>
        </w:rPr>
        <w:t>第一章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四川省医疗保障信息大数据一体化平台药品和医用耗材招采管理子系统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6"/>
        <w:tblW w:w="7230"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842"/>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序号</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硬件或软件</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CPU</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展示器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448390352"/>
      <w:bookmarkStart w:id="6" w:name="_Toc448391477"/>
      <w:bookmarkStart w:id="7" w:name="_Toc527023998"/>
      <w:bookmarkStart w:id="8" w:name="_Toc527029695"/>
      <w:bookmarkStart w:id="9" w:name="_Toc59995525"/>
      <w:bookmarkStart w:id="10" w:name="_Toc465429394"/>
      <w:bookmarkStart w:id="11" w:name="_Toc22170"/>
      <w:bookmarkStart w:id="12" w:name="_Toc26625"/>
      <w:bookmarkStart w:id="13" w:name="_Toc527119218"/>
      <w:bookmarkStart w:id="14" w:name="_Toc451336103"/>
      <w:bookmarkStart w:id="15" w:name="_Toc31910"/>
      <w:r>
        <w:rPr>
          <w:rFonts w:hint="eastAsia" w:ascii="宋体" w:hAnsi="宋体"/>
        </w:rPr>
        <w:t>第二章 账号领取与登录系统</w:t>
      </w:r>
      <w:bookmarkEnd w:id="5"/>
      <w:bookmarkEnd w:id="6"/>
      <w:bookmarkEnd w:id="7"/>
      <w:bookmarkEnd w:id="8"/>
      <w:bookmarkEnd w:id="9"/>
      <w:bookmarkEnd w:id="10"/>
      <w:bookmarkEnd w:id="11"/>
      <w:bookmarkEnd w:id="12"/>
    </w:p>
    <w:bookmarkEnd w:id="13"/>
    <w:bookmarkEnd w:id="14"/>
    <w:bookmarkEnd w:id="15"/>
    <w:p>
      <w:pPr>
        <w:pStyle w:val="3"/>
        <w:rPr>
          <w:rFonts w:ascii="宋体" w:hAnsi="宋体"/>
        </w:rPr>
      </w:pPr>
      <w:bookmarkStart w:id="16" w:name="_Toc2696"/>
      <w:bookmarkStart w:id="17" w:name="_Toc615"/>
      <w:bookmarkStart w:id="18" w:name="_Toc17128"/>
      <w:r>
        <w:rPr>
          <w:rFonts w:hint="eastAsia" w:ascii="宋体" w:hAnsi="宋体"/>
        </w:rPr>
        <w:t xml:space="preserve">2.1 </w:t>
      </w:r>
      <w:bookmarkEnd w:id="16"/>
      <w:r>
        <w:rPr>
          <w:rFonts w:hint="eastAsia" w:ascii="宋体" w:hAnsi="宋体"/>
        </w:rPr>
        <w:t>用户登录与退出</w:t>
      </w:r>
      <w:bookmarkEnd w:id="17"/>
    </w:p>
    <w:p>
      <w:pPr>
        <w:pStyle w:val="11"/>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Times New Roman"/>
          <w:b w:val="0"/>
          <w:bCs/>
          <w:kern w:val="2"/>
          <w:sz w:val="24"/>
          <w:szCs w:val="24"/>
          <w:lang w:val="en-US" w:eastAsia="zh-CN" w:bidi="ar-SA"/>
        </w:rPr>
      </w:pPr>
      <w:r>
        <w:rPr>
          <w:rFonts w:hint="eastAsia" w:ascii="宋体" w:hAnsi="宋体"/>
          <w:b/>
          <w:sz w:val="24"/>
          <w:szCs w:val="24"/>
        </w:rPr>
        <w:t>操作步骤：</w:t>
      </w:r>
      <w:r>
        <w:rPr>
          <w:rFonts w:hint="eastAsia" w:ascii="宋体" w:hAnsi="宋体" w:eastAsia="宋体" w:cs="Times New Roman"/>
          <w:b w:val="0"/>
          <w:bCs/>
          <w:kern w:val="2"/>
          <w:sz w:val="24"/>
          <w:szCs w:val="24"/>
          <w:lang w:val="en-US" w:eastAsia="zh-CN" w:bidi="ar-SA"/>
        </w:rPr>
        <w:t>在浏览器中输入平台网址(https://ggfw.scyb.org.cn/hsa-local-prod/web/hallEnter/#/Index)，进入四川医保公共服务平台，如图2-1-1所示。输入账号密码后点击【登陆】按钮，进入系统，点击【招采企业服务】如图2-1-2所示，点击耗材招标管理，进入耗材基础库子系统如图2-1-3所示。</w:t>
      </w:r>
    </w:p>
    <w:p>
      <w:pPr>
        <w:jc w:val="center"/>
        <w:rPr>
          <w:rFonts w:ascii="宋体" w:hAnsi="宋体" w:cs="宋体"/>
          <w:kern w:val="0"/>
          <w:sz w:val="24"/>
          <w:szCs w:val="24"/>
        </w:rPr>
      </w:pPr>
      <w:r>
        <w:drawing>
          <wp:inline distT="0" distB="0" distL="114300" distR="114300">
            <wp:extent cx="5272405" cy="2816860"/>
            <wp:effectExtent l="0" t="0" r="444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8168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114300" distR="114300">
            <wp:extent cx="5260975" cy="2359660"/>
            <wp:effectExtent l="0" t="0" r="1587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0975" cy="23596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114300" distR="114300">
            <wp:extent cx="5266055" cy="2094865"/>
            <wp:effectExtent l="0" t="0" r="1079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66055" cy="2094865"/>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1"/>
        <w:numPr>
          <w:ilvl w:val="0"/>
          <w:numId w:val="1"/>
        </w:numPr>
        <w:spacing w:line="360" w:lineRule="auto"/>
        <w:ind w:firstLineChars="0"/>
        <w:rPr>
          <w:rFonts w:ascii="宋体" w:hAnsi="宋体"/>
          <w:b/>
          <w:sz w:val="24"/>
          <w:szCs w:val="24"/>
        </w:rPr>
      </w:pPr>
      <w:r>
        <w:rPr>
          <w:rFonts w:ascii="宋体" w:hAnsi="宋体"/>
          <w:b/>
          <w:sz w:val="24"/>
          <w:szCs w:val="24"/>
        </w:rPr>
        <w:t>退出</w:t>
      </w:r>
    </w:p>
    <w:p>
      <w:pPr>
        <w:pStyle w:val="2"/>
        <w:rPr>
          <w:rFonts w:hint="eastAsia" w:ascii="宋体" w:hAnsi="宋体" w:eastAsia="宋体" w:cs="Times New Roman"/>
          <w:b w:val="0"/>
          <w:bCs/>
          <w:kern w:val="2"/>
          <w:sz w:val="24"/>
          <w:szCs w:val="24"/>
          <w:lang w:val="en-US" w:eastAsia="zh-CN" w:bidi="ar-SA"/>
        </w:rPr>
      </w:pPr>
      <w:bookmarkStart w:id="19" w:name="_Toc18881"/>
      <w:r>
        <w:rPr>
          <w:rFonts w:ascii="宋体" w:hAnsi="宋体"/>
          <w:b/>
          <w:sz w:val="24"/>
          <w:szCs w:val="24"/>
        </w:rPr>
        <w:t>操作步骤</w:t>
      </w:r>
      <w:r>
        <w:rPr>
          <w:rFonts w:hint="eastAsia" w:ascii="宋体" w:hAnsi="宋体"/>
          <w:b/>
          <w:sz w:val="24"/>
          <w:szCs w:val="24"/>
        </w:rPr>
        <w:t>：</w:t>
      </w:r>
      <w:r>
        <w:rPr>
          <w:rFonts w:hint="eastAsia" w:ascii="宋体" w:hAnsi="宋体" w:eastAsia="宋体" w:cs="Times New Roman"/>
          <w:b w:val="0"/>
          <w:bCs/>
          <w:kern w:val="2"/>
          <w:sz w:val="24"/>
          <w:szCs w:val="24"/>
          <w:lang w:val="en-US" w:eastAsia="zh-CN" w:bidi="ar-SA"/>
        </w:rPr>
        <w:t>点击图2-1-3页面右上角的【退出】按钮，退出系统。</w:t>
      </w:r>
      <w:bookmarkEnd w:id="19"/>
    </w:p>
    <w:p>
      <w:pPr>
        <w:pStyle w:val="2"/>
        <w:rPr>
          <w:rFonts w:hint="eastAsia" w:eastAsia="宋体"/>
          <w:lang w:eastAsia="zh-CN"/>
        </w:rPr>
      </w:pPr>
      <w:bookmarkStart w:id="20" w:name="_Toc21891"/>
      <w:r>
        <w:rPr>
          <w:rFonts w:hint="eastAsia"/>
          <w:highlight w:val="lightGray"/>
        </w:rPr>
        <w:t>第三章</w:t>
      </w:r>
      <w:r>
        <w:t xml:space="preserve"> </w:t>
      </w:r>
      <w:bookmarkEnd w:id="18"/>
      <w:r>
        <w:rPr>
          <w:rFonts w:hint="eastAsia"/>
          <w:lang w:eastAsia="zh-CN"/>
        </w:rPr>
        <w:t>种植体带量采购合同管理</w:t>
      </w:r>
      <w:bookmarkEnd w:id="20"/>
    </w:p>
    <w:p>
      <w:pPr>
        <w:pStyle w:val="3"/>
        <w:rPr>
          <w:rFonts w:hint="eastAsia" w:ascii="宋体" w:hAnsi="宋体" w:eastAsia="宋体"/>
          <w:lang w:eastAsia="zh-CN"/>
        </w:rPr>
      </w:pPr>
      <w:bookmarkStart w:id="21" w:name="_Toc23676"/>
      <w:r>
        <w:rPr>
          <w:rFonts w:hint="eastAsia" w:ascii="宋体" w:hAnsi="宋体"/>
        </w:rPr>
        <w:t xml:space="preserve">3.1 </w:t>
      </w:r>
      <w:r>
        <w:rPr>
          <w:rFonts w:hint="eastAsia" w:ascii="宋体" w:hAnsi="宋体"/>
          <w:lang w:eastAsia="zh-CN"/>
        </w:rPr>
        <w:t>商品列表</w:t>
      </w:r>
      <w:bookmarkEnd w:id="21"/>
    </w:p>
    <w:p>
      <w:pPr>
        <w:spacing w:line="360" w:lineRule="auto"/>
        <w:rPr>
          <w:rFonts w:hint="eastAsia" w:ascii="宋体" w:hAnsi="宋体"/>
          <w:sz w:val="24"/>
          <w:szCs w:val="24"/>
          <w:lang w:eastAsia="zh-CN"/>
        </w:rPr>
      </w:pPr>
      <w:r>
        <w:rPr>
          <w:rFonts w:hint="eastAsia" w:ascii="宋体" w:hAnsi="宋体"/>
          <w:b/>
          <w:sz w:val="24"/>
          <w:szCs w:val="24"/>
        </w:rPr>
        <w:t>操作步骤：</w:t>
      </w:r>
      <w:r>
        <w:rPr>
          <w:rFonts w:hint="eastAsia" w:ascii="宋体" w:hAnsi="宋体"/>
          <w:sz w:val="24"/>
          <w:szCs w:val="24"/>
        </w:rPr>
        <w:t>点击进入【耗材</w:t>
      </w:r>
      <w:r>
        <w:rPr>
          <w:rFonts w:hint="eastAsia" w:ascii="宋体" w:hAnsi="宋体"/>
          <w:sz w:val="24"/>
          <w:szCs w:val="24"/>
          <w:lang w:eastAsia="zh-CN"/>
        </w:rPr>
        <w:t>交易</w:t>
      </w:r>
      <w:r>
        <w:rPr>
          <w:rFonts w:hint="eastAsia" w:ascii="宋体" w:hAnsi="宋体"/>
          <w:sz w:val="24"/>
          <w:szCs w:val="24"/>
          <w:lang w:val="en-US" w:eastAsia="zh-CN"/>
        </w:rPr>
        <w:t>结算</w:t>
      </w:r>
      <w:r>
        <w:rPr>
          <w:rFonts w:hint="eastAsia" w:ascii="宋体" w:hAnsi="宋体"/>
          <w:sz w:val="24"/>
          <w:szCs w:val="24"/>
        </w:rPr>
        <w:t>】</w:t>
      </w:r>
      <w:r>
        <w:rPr>
          <w:rFonts w:hint="eastAsia" w:ascii="宋体" w:hAnsi="宋体"/>
          <w:sz w:val="24"/>
          <w:szCs w:val="24"/>
          <w:lang w:val="en-US" w:eastAsia="zh-CN"/>
        </w:rPr>
        <w:t>-</w:t>
      </w:r>
      <w:r>
        <w:rPr>
          <w:rFonts w:hint="eastAsia" w:ascii="宋体" w:hAnsi="宋体"/>
          <w:sz w:val="24"/>
          <w:szCs w:val="24"/>
        </w:rPr>
        <w:t>【</w:t>
      </w:r>
      <w:r>
        <w:rPr>
          <w:rFonts w:hint="eastAsia" w:ascii="宋体" w:hAnsi="宋体"/>
          <w:sz w:val="24"/>
          <w:szCs w:val="24"/>
          <w:lang w:eastAsia="zh-CN"/>
        </w:rPr>
        <w:t>种植体带量采购专区</w:t>
      </w:r>
      <w:r>
        <w:rPr>
          <w:rFonts w:hint="eastAsia" w:ascii="宋体" w:hAnsi="宋体"/>
          <w:sz w:val="24"/>
          <w:szCs w:val="24"/>
        </w:rPr>
        <w:t>】</w:t>
      </w:r>
      <w:r>
        <w:rPr>
          <w:rFonts w:hint="eastAsia" w:ascii="宋体" w:hAnsi="宋体"/>
          <w:sz w:val="24"/>
          <w:szCs w:val="24"/>
          <w:lang w:val="en-US" w:eastAsia="zh-CN"/>
        </w:rPr>
        <w:t>-</w:t>
      </w:r>
      <w:r>
        <w:rPr>
          <w:rFonts w:hint="eastAsia" w:ascii="宋体" w:hAnsi="宋体"/>
          <w:sz w:val="24"/>
          <w:szCs w:val="24"/>
        </w:rPr>
        <w:t>【</w:t>
      </w:r>
      <w:r>
        <w:rPr>
          <w:rFonts w:hint="eastAsia" w:ascii="宋体" w:hAnsi="宋体"/>
          <w:sz w:val="24"/>
          <w:szCs w:val="24"/>
          <w:lang w:eastAsia="zh-CN"/>
        </w:rPr>
        <w:t>商品列表</w:t>
      </w:r>
      <w:r>
        <w:rPr>
          <w:rFonts w:hint="eastAsia" w:ascii="宋体" w:hAnsi="宋体"/>
          <w:sz w:val="24"/>
          <w:szCs w:val="24"/>
        </w:rPr>
        <w:t>】，</w:t>
      </w:r>
      <w:r>
        <w:rPr>
          <w:rFonts w:hint="eastAsia" w:ascii="宋体" w:hAnsi="宋体"/>
          <w:sz w:val="24"/>
          <w:szCs w:val="24"/>
          <w:lang w:eastAsia="zh-CN"/>
        </w:rPr>
        <w:t>在商品列表当中可以看到种植体系统编号等信息</w:t>
      </w:r>
      <w:r>
        <w:rPr>
          <w:rFonts w:hint="eastAsia" w:ascii="宋体" w:hAnsi="宋体"/>
          <w:sz w:val="24"/>
          <w:szCs w:val="24"/>
        </w:rPr>
        <w:t>，点击</w:t>
      </w:r>
      <w:r>
        <w:rPr>
          <w:rFonts w:hint="eastAsia" w:ascii="宋体" w:hAnsi="宋体"/>
          <w:sz w:val="24"/>
          <w:szCs w:val="24"/>
          <w:lang w:eastAsia="zh-CN"/>
        </w:rPr>
        <w:t>某种植体系统的</w:t>
      </w:r>
      <w:r>
        <w:rPr>
          <w:rFonts w:hint="eastAsia" w:ascii="宋体" w:hAnsi="宋体"/>
          <w:sz w:val="24"/>
          <w:szCs w:val="24"/>
        </w:rPr>
        <w:t>【</w:t>
      </w:r>
      <w:r>
        <w:rPr>
          <w:rFonts w:hint="eastAsia" w:ascii="宋体" w:hAnsi="宋体"/>
          <w:sz w:val="24"/>
          <w:szCs w:val="24"/>
          <w:lang w:eastAsia="zh-CN"/>
        </w:rPr>
        <w:t>查看详情</w:t>
      </w:r>
      <w:r>
        <w:rPr>
          <w:rFonts w:hint="eastAsia" w:ascii="宋体" w:hAnsi="宋体"/>
          <w:sz w:val="24"/>
          <w:szCs w:val="24"/>
        </w:rPr>
        <w:t>】</w:t>
      </w:r>
      <w:r>
        <w:rPr>
          <w:rFonts w:hint="eastAsia" w:ascii="宋体" w:hAnsi="宋体"/>
          <w:sz w:val="24"/>
          <w:szCs w:val="24"/>
          <w:lang w:eastAsia="zh-CN"/>
        </w:rPr>
        <w:t>可看到该种植体系统下各部件信息。点击某部件的</w:t>
      </w:r>
      <w:r>
        <w:rPr>
          <w:rFonts w:hint="eastAsia" w:ascii="宋体" w:hAnsi="宋体"/>
          <w:sz w:val="24"/>
          <w:szCs w:val="24"/>
        </w:rPr>
        <w:t>【</w:t>
      </w:r>
      <w:r>
        <w:rPr>
          <w:rFonts w:hint="eastAsia" w:ascii="宋体" w:hAnsi="宋体"/>
          <w:sz w:val="24"/>
          <w:szCs w:val="24"/>
          <w:lang w:eastAsia="zh-CN"/>
        </w:rPr>
        <w:t>查看规格型号</w:t>
      </w:r>
      <w:r>
        <w:rPr>
          <w:rFonts w:hint="eastAsia" w:ascii="宋体" w:hAnsi="宋体"/>
          <w:sz w:val="24"/>
          <w:szCs w:val="24"/>
        </w:rPr>
        <w:t>】</w:t>
      </w:r>
      <w:r>
        <w:rPr>
          <w:rFonts w:hint="eastAsia" w:ascii="宋体" w:hAnsi="宋体"/>
          <w:sz w:val="24"/>
          <w:szCs w:val="24"/>
          <w:lang w:eastAsia="zh-CN"/>
        </w:rPr>
        <w:t>可看到该部件的具体规格型号。</w:t>
      </w:r>
    </w:p>
    <w:p>
      <w:pPr>
        <w:spacing w:line="360" w:lineRule="auto"/>
        <w:jc w:val="center"/>
      </w:pPr>
      <w:r>
        <w:drawing>
          <wp:inline distT="0" distB="0" distL="114300" distR="114300">
            <wp:extent cx="5260975" cy="1381760"/>
            <wp:effectExtent l="0" t="0" r="1587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0975" cy="1381760"/>
                    </a:xfrm>
                    <a:prstGeom prst="rect">
                      <a:avLst/>
                    </a:prstGeom>
                    <a:noFill/>
                    <a:ln>
                      <a:noFill/>
                    </a:ln>
                  </pic:spPr>
                </pic:pic>
              </a:graphicData>
            </a:graphic>
          </wp:inline>
        </w:drawing>
      </w:r>
    </w:p>
    <w:p>
      <w:pPr>
        <w:spacing w:line="360" w:lineRule="auto"/>
        <w:jc w:val="center"/>
      </w:pPr>
      <w:r>
        <w:drawing>
          <wp:inline distT="0" distB="0" distL="114300" distR="114300">
            <wp:extent cx="5269865" cy="2407920"/>
            <wp:effectExtent l="0" t="0" r="698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9865" cy="2407920"/>
                    </a:xfrm>
                    <a:prstGeom prst="rect">
                      <a:avLst/>
                    </a:prstGeom>
                    <a:noFill/>
                    <a:ln>
                      <a:noFill/>
                    </a:ln>
                  </pic:spPr>
                </pic:pic>
              </a:graphicData>
            </a:graphic>
          </wp:inline>
        </w:drawing>
      </w:r>
      <w:r>
        <w:drawing>
          <wp:inline distT="0" distB="0" distL="114300" distR="114300">
            <wp:extent cx="5269865" cy="2506345"/>
            <wp:effectExtent l="0" t="0" r="698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9865" cy="2506345"/>
                    </a:xfrm>
                    <a:prstGeom prst="rect">
                      <a:avLst/>
                    </a:prstGeom>
                    <a:noFill/>
                    <a:ln>
                      <a:noFill/>
                    </a:ln>
                  </pic:spPr>
                </pic:pic>
              </a:graphicData>
            </a:graphic>
          </wp:inline>
        </w:drawing>
      </w:r>
    </w:p>
    <w:p>
      <w:pPr>
        <w:pStyle w:val="3"/>
        <w:rPr>
          <w:rFonts w:hint="eastAsia" w:ascii="宋体" w:hAnsi="宋体" w:eastAsia="宋体"/>
          <w:lang w:eastAsia="zh-CN"/>
        </w:rPr>
      </w:pPr>
      <w:bookmarkStart w:id="22" w:name="_Toc31021"/>
      <w:bookmarkStart w:id="23" w:name="_Toc6595"/>
      <w:bookmarkStart w:id="24" w:name="_Toc15892"/>
      <w:r>
        <w:rPr>
          <w:rFonts w:hint="eastAsia" w:ascii="宋体" w:hAnsi="宋体"/>
        </w:rPr>
        <w:t xml:space="preserve">3.2 </w:t>
      </w:r>
      <w:bookmarkEnd w:id="22"/>
      <w:r>
        <w:rPr>
          <w:rFonts w:hint="eastAsia" w:ascii="宋体" w:hAnsi="宋体"/>
          <w:lang w:eastAsia="zh-CN"/>
        </w:rPr>
        <w:t>配送关系确认</w:t>
      </w:r>
      <w:bookmarkEnd w:id="23"/>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sz w:val="24"/>
          <w:szCs w:val="24"/>
        </w:rPr>
        <w:t>点击进入【</w:t>
      </w:r>
      <w:r>
        <w:rPr>
          <w:rFonts w:hint="eastAsia" w:ascii="宋体" w:hAnsi="宋体"/>
          <w:sz w:val="24"/>
          <w:szCs w:val="24"/>
          <w:lang w:eastAsia="zh-CN"/>
        </w:rPr>
        <w:t>配送关系确认</w:t>
      </w:r>
      <w:r>
        <w:rPr>
          <w:rFonts w:hint="eastAsia" w:ascii="宋体" w:hAnsi="宋体"/>
          <w:sz w:val="24"/>
          <w:szCs w:val="24"/>
        </w:rPr>
        <w:t>】</w:t>
      </w:r>
      <w:r>
        <w:rPr>
          <w:rFonts w:hint="eastAsia" w:ascii="宋体" w:hAnsi="宋体"/>
          <w:sz w:val="24"/>
          <w:szCs w:val="24"/>
          <w:lang w:eastAsia="zh-CN"/>
        </w:rPr>
        <w:t>，选择想要确认配送关系且关系确认状态为提交未确认的商品。勾选该商品后选择</w:t>
      </w:r>
      <w:r>
        <w:rPr>
          <w:rFonts w:hint="eastAsia" w:ascii="宋体" w:hAnsi="宋体"/>
          <w:sz w:val="24"/>
          <w:szCs w:val="24"/>
        </w:rPr>
        <w:t>【</w:t>
      </w:r>
      <w:r>
        <w:rPr>
          <w:rFonts w:hint="eastAsia" w:ascii="宋体" w:hAnsi="宋体"/>
          <w:sz w:val="24"/>
          <w:szCs w:val="24"/>
          <w:lang w:eastAsia="zh-CN"/>
        </w:rPr>
        <w:t>接受</w:t>
      </w:r>
      <w:r>
        <w:rPr>
          <w:rFonts w:hint="eastAsia" w:ascii="宋体" w:hAnsi="宋体"/>
          <w:sz w:val="24"/>
          <w:szCs w:val="24"/>
        </w:rPr>
        <w:t>】</w:t>
      </w:r>
      <w:r>
        <w:rPr>
          <w:rFonts w:hint="eastAsia" w:ascii="宋体" w:hAnsi="宋体"/>
          <w:sz w:val="24"/>
          <w:szCs w:val="24"/>
          <w:lang w:eastAsia="zh-CN"/>
        </w:rPr>
        <w:t>。进入配送关系勾选界面。在该界面中可勾选配送企业和配送区域，勾选完成后点击提交配送关系。提示设置成功后关系确认状态将变更为配送企业同意。</w:t>
      </w:r>
    </w:p>
    <w:p>
      <w:pPr>
        <w:jc w:val="center"/>
      </w:pPr>
      <w:r>
        <w:drawing>
          <wp:inline distT="0" distB="0" distL="114300" distR="114300">
            <wp:extent cx="5271135" cy="2253615"/>
            <wp:effectExtent l="0" t="0" r="5715" b="1333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0"/>
                    <a:stretch>
                      <a:fillRect/>
                    </a:stretch>
                  </pic:blipFill>
                  <pic:spPr>
                    <a:xfrm>
                      <a:off x="0" y="0"/>
                      <a:ext cx="5271135" cy="2253615"/>
                    </a:xfrm>
                    <a:prstGeom prst="rect">
                      <a:avLst/>
                    </a:prstGeom>
                    <a:noFill/>
                    <a:ln>
                      <a:noFill/>
                    </a:ln>
                  </pic:spPr>
                </pic:pic>
              </a:graphicData>
            </a:graphic>
          </wp:inline>
        </w:drawing>
      </w:r>
    </w:p>
    <w:p>
      <w:pPr>
        <w:pStyle w:val="3"/>
        <w:rPr>
          <w:rFonts w:hint="eastAsia" w:ascii="宋体" w:hAnsi="宋体"/>
          <w:lang w:eastAsia="zh-CN"/>
        </w:rPr>
      </w:pPr>
      <w:bookmarkStart w:id="25" w:name="_Toc14474"/>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合同列表</w:t>
      </w:r>
      <w:bookmarkEnd w:id="25"/>
    </w:p>
    <w:p>
      <w:pPr>
        <w:spacing w:line="360" w:lineRule="auto"/>
        <w:rPr>
          <w:rFonts w:hint="eastAsia" w:ascii="宋体" w:hAnsi="宋体"/>
          <w:sz w:val="24"/>
          <w:szCs w:val="24"/>
          <w:lang w:eastAsia="zh-CN"/>
        </w:rPr>
      </w:pPr>
      <w:r>
        <w:rPr>
          <w:rFonts w:hint="eastAsia" w:ascii="宋体" w:hAnsi="宋体"/>
          <w:b/>
          <w:sz w:val="24"/>
          <w:szCs w:val="24"/>
        </w:rPr>
        <w:t>操作步骤：</w:t>
      </w:r>
      <w:r>
        <w:rPr>
          <w:rFonts w:hint="eastAsia" w:ascii="宋体" w:hAnsi="宋体"/>
          <w:sz w:val="24"/>
          <w:szCs w:val="24"/>
        </w:rPr>
        <w:t>点击进入【合同列表】</w:t>
      </w:r>
      <w:r>
        <w:rPr>
          <w:rFonts w:hint="eastAsia" w:ascii="宋体" w:hAnsi="宋体"/>
          <w:sz w:val="24"/>
          <w:szCs w:val="24"/>
          <w:lang w:eastAsia="zh-CN"/>
        </w:rPr>
        <w:t>，可以看到现有的合同。点击</w:t>
      </w:r>
      <w:r>
        <w:rPr>
          <w:rFonts w:hint="eastAsia" w:ascii="宋体" w:hAnsi="宋体"/>
          <w:sz w:val="24"/>
          <w:szCs w:val="24"/>
        </w:rPr>
        <w:t>【</w:t>
      </w:r>
      <w:r>
        <w:rPr>
          <w:rFonts w:hint="eastAsia" w:ascii="宋体" w:hAnsi="宋体"/>
          <w:sz w:val="24"/>
          <w:szCs w:val="24"/>
          <w:lang w:eastAsia="zh-CN"/>
        </w:rPr>
        <w:t>查看电子合同</w:t>
      </w:r>
      <w:r>
        <w:rPr>
          <w:rFonts w:hint="eastAsia" w:ascii="宋体" w:hAnsi="宋体"/>
          <w:sz w:val="24"/>
          <w:szCs w:val="24"/>
        </w:rPr>
        <w:t>】</w:t>
      </w:r>
      <w:r>
        <w:rPr>
          <w:rFonts w:hint="eastAsia" w:ascii="宋体" w:hAnsi="宋体"/>
          <w:sz w:val="24"/>
          <w:szCs w:val="24"/>
          <w:lang w:eastAsia="zh-CN"/>
        </w:rPr>
        <w:t>，跳转至合同详情页面。在该页面填写完需要信息后，点击</w:t>
      </w:r>
      <w:r>
        <w:rPr>
          <w:rFonts w:hint="eastAsia" w:ascii="宋体" w:hAnsi="宋体"/>
          <w:sz w:val="24"/>
          <w:szCs w:val="24"/>
        </w:rPr>
        <w:t>【</w:t>
      </w:r>
      <w:r>
        <w:rPr>
          <w:rFonts w:hint="eastAsia" w:ascii="宋体" w:hAnsi="宋体"/>
          <w:sz w:val="24"/>
          <w:szCs w:val="24"/>
          <w:lang w:eastAsia="zh-CN"/>
        </w:rPr>
        <w:t>提交</w:t>
      </w:r>
      <w:r>
        <w:rPr>
          <w:rFonts w:hint="eastAsia" w:ascii="宋体" w:hAnsi="宋体"/>
          <w:sz w:val="24"/>
          <w:szCs w:val="24"/>
        </w:rPr>
        <w:t>】</w:t>
      </w:r>
      <w:r>
        <w:rPr>
          <w:rFonts w:hint="eastAsia" w:ascii="宋体" w:hAnsi="宋体"/>
          <w:sz w:val="24"/>
          <w:szCs w:val="24"/>
          <w:lang w:eastAsia="zh-CN"/>
        </w:rPr>
        <w:t>即可完成合同签订。完成签订后合同状态会更改为“已签订”。</w:t>
      </w:r>
    </w:p>
    <w:p>
      <w:pPr>
        <w:spacing w:line="360" w:lineRule="auto"/>
      </w:pPr>
      <w:r>
        <w:drawing>
          <wp:inline distT="0" distB="0" distL="114300" distR="114300">
            <wp:extent cx="5266690" cy="1456690"/>
            <wp:effectExtent l="0" t="0" r="1016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66690" cy="1456690"/>
                    </a:xfrm>
                    <a:prstGeom prst="rect">
                      <a:avLst/>
                    </a:prstGeom>
                    <a:noFill/>
                    <a:ln>
                      <a:noFill/>
                    </a:ln>
                  </pic:spPr>
                </pic:pic>
              </a:graphicData>
            </a:graphic>
          </wp:inline>
        </w:drawing>
      </w:r>
    </w:p>
    <w:p>
      <w:pPr>
        <w:spacing w:line="360" w:lineRule="auto"/>
        <w:rPr>
          <w:rFonts w:hint="eastAsia"/>
          <w:lang w:eastAsia="zh-CN"/>
        </w:rPr>
      </w:pPr>
      <w:r>
        <w:drawing>
          <wp:inline distT="0" distB="0" distL="114300" distR="114300">
            <wp:extent cx="5268595" cy="952500"/>
            <wp:effectExtent l="0" t="0" r="825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268595" cy="952500"/>
                    </a:xfrm>
                    <a:prstGeom prst="rect">
                      <a:avLst/>
                    </a:prstGeom>
                    <a:noFill/>
                    <a:ln>
                      <a:noFill/>
                    </a:ln>
                  </pic:spPr>
                </pic:pic>
              </a:graphicData>
            </a:graphic>
          </wp:inline>
        </w:drawing>
      </w:r>
    </w:p>
    <w:p>
      <w:pPr>
        <w:jc w:val="center"/>
      </w:pPr>
    </w:p>
    <w:p>
      <w:pPr>
        <w:pStyle w:val="3"/>
        <w:rPr>
          <w:rFonts w:hint="eastAsia" w:ascii="宋体" w:hAnsi="宋体"/>
          <w:lang w:eastAsia="zh-CN"/>
        </w:rPr>
      </w:pPr>
      <w:bookmarkStart w:id="26" w:name="_Toc12499"/>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合同签章</w:t>
      </w:r>
      <w:bookmarkEnd w:id="26"/>
    </w:p>
    <w:p>
      <w:pPr>
        <w:spacing w:line="360" w:lineRule="auto"/>
        <w:rPr>
          <w:rFonts w:hint="default" w:ascii="宋体" w:hAnsi="宋体"/>
          <w:sz w:val="24"/>
          <w:szCs w:val="24"/>
          <w:lang w:val="en-US" w:eastAsia="zh-CN"/>
        </w:rPr>
      </w:pPr>
      <w:r>
        <w:rPr>
          <w:rFonts w:hint="eastAsia" w:ascii="宋体" w:hAnsi="宋体"/>
          <w:b/>
          <w:sz w:val="24"/>
          <w:szCs w:val="24"/>
        </w:rPr>
        <w:t>操作步骤：</w:t>
      </w:r>
      <w:r>
        <w:rPr>
          <w:rFonts w:hint="eastAsia" w:ascii="宋体" w:hAnsi="宋体"/>
          <w:sz w:val="24"/>
          <w:szCs w:val="24"/>
        </w:rPr>
        <w:t>点击进入【</w:t>
      </w:r>
      <w:r>
        <w:rPr>
          <w:rFonts w:hint="eastAsia" w:ascii="宋体" w:hAnsi="宋体"/>
          <w:sz w:val="24"/>
          <w:szCs w:val="24"/>
          <w:lang w:eastAsia="zh-CN"/>
        </w:rPr>
        <w:t>合同签章</w:t>
      </w:r>
      <w:r>
        <w:rPr>
          <w:rFonts w:hint="eastAsia" w:ascii="宋体" w:hAnsi="宋体"/>
          <w:sz w:val="24"/>
          <w:szCs w:val="24"/>
        </w:rPr>
        <w:t>】</w:t>
      </w:r>
      <w:r>
        <w:rPr>
          <w:rFonts w:hint="eastAsia" w:ascii="宋体" w:hAnsi="宋体"/>
          <w:sz w:val="24"/>
          <w:szCs w:val="24"/>
          <w:lang w:eastAsia="zh-CN"/>
        </w:rPr>
        <w:t>，合同建立完成后可进行合同签章。签章顺序为医疗机构</w:t>
      </w:r>
      <w:r>
        <w:rPr>
          <w:rFonts w:hint="eastAsia" w:ascii="宋体" w:hAnsi="宋体"/>
          <w:sz w:val="24"/>
          <w:szCs w:val="24"/>
          <w:lang w:val="en-US" w:eastAsia="zh-CN"/>
        </w:rPr>
        <w:t>-申报企业-配送企业。</w:t>
      </w:r>
    </w:p>
    <w:p>
      <w:r>
        <w:drawing>
          <wp:inline distT="0" distB="0" distL="114300" distR="114300">
            <wp:extent cx="5260340" cy="1778000"/>
            <wp:effectExtent l="0" t="0" r="16510" b="1270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5260340" cy="1778000"/>
                    </a:xfrm>
                    <a:prstGeom prst="rect">
                      <a:avLst/>
                    </a:prstGeom>
                    <a:noFill/>
                    <a:ln>
                      <a:noFill/>
                    </a:ln>
                  </pic:spPr>
                </pic:pic>
              </a:graphicData>
            </a:graphic>
          </wp:inline>
        </w:drawing>
      </w:r>
    </w:p>
    <w:p>
      <w:pPr>
        <w:pStyle w:val="2"/>
        <w:rPr>
          <w:rFonts w:hint="eastAsia"/>
          <w:lang w:eastAsia="zh-CN"/>
        </w:rPr>
      </w:pPr>
      <w:bookmarkStart w:id="27" w:name="_Toc205"/>
      <w:r>
        <w:rPr>
          <w:rFonts w:hint="eastAsia"/>
          <w:highlight w:val="lightGray"/>
        </w:rPr>
        <w:t>第</w:t>
      </w:r>
      <w:r>
        <w:rPr>
          <w:rFonts w:hint="eastAsia"/>
          <w:highlight w:val="lightGray"/>
          <w:lang w:eastAsia="zh-CN"/>
        </w:rPr>
        <w:t>四</w:t>
      </w:r>
      <w:r>
        <w:rPr>
          <w:rFonts w:hint="eastAsia"/>
          <w:highlight w:val="lightGray"/>
        </w:rPr>
        <w:t>章</w:t>
      </w:r>
      <w:r>
        <w:t xml:space="preserve"> </w:t>
      </w:r>
      <w:r>
        <w:rPr>
          <w:rFonts w:hint="eastAsia"/>
          <w:lang w:eastAsia="zh-CN"/>
        </w:rPr>
        <w:t>种植体带量采购订单管理</w:t>
      </w:r>
      <w:bookmarkEnd w:id="27"/>
    </w:p>
    <w:p>
      <w:pPr>
        <w:pStyle w:val="3"/>
        <w:rPr>
          <w:rFonts w:hint="eastAsia" w:ascii="宋体" w:hAnsi="宋体"/>
          <w:lang w:eastAsia="zh-CN"/>
        </w:rPr>
      </w:pPr>
      <w:bookmarkStart w:id="28" w:name="_Toc588"/>
      <w:r>
        <w:rPr>
          <w:rFonts w:hint="eastAsia" w:ascii="宋体" w:hAnsi="宋体"/>
          <w:lang w:val="en-US" w:eastAsia="zh-CN"/>
        </w:rPr>
        <w:t>4.1</w:t>
      </w:r>
      <w:r>
        <w:rPr>
          <w:rFonts w:hint="eastAsia" w:ascii="宋体" w:hAnsi="宋体"/>
        </w:rPr>
        <w:t xml:space="preserve"> </w:t>
      </w:r>
      <w:r>
        <w:rPr>
          <w:rFonts w:hint="eastAsia" w:ascii="宋体" w:hAnsi="宋体"/>
          <w:lang w:eastAsia="zh-CN"/>
        </w:rPr>
        <w:t>订单配送</w:t>
      </w:r>
      <w:bookmarkEnd w:id="28"/>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点击【</w:t>
      </w:r>
      <w:r>
        <w:rPr>
          <w:rFonts w:hint="eastAsia"/>
          <w:sz w:val="24"/>
          <w:szCs w:val="24"/>
        </w:rPr>
        <w:t>订单配送</w:t>
      </w:r>
      <w:r>
        <w:rPr>
          <w:rFonts w:hint="eastAsia" w:ascii="宋体" w:hAnsi="宋体"/>
          <w:bCs/>
          <w:sz w:val="24"/>
          <w:szCs w:val="24"/>
        </w:rPr>
        <w:t>】，跳转至</w:t>
      </w:r>
      <w:r>
        <w:rPr>
          <w:rFonts w:hint="eastAsia"/>
          <w:sz w:val="24"/>
          <w:szCs w:val="24"/>
        </w:rPr>
        <w:t>订单配送</w:t>
      </w:r>
      <w:r>
        <w:rPr>
          <w:rFonts w:hint="eastAsia" w:ascii="宋体" w:hAnsi="宋体"/>
          <w:bCs/>
          <w:sz w:val="24"/>
          <w:szCs w:val="24"/>
        </w:rPr>
        <w:t>界面。</w:t>
      </w:r>
    </w:p>
    <w:p>
      <w:pPr>
        <w:spacing w:line="360" w:lineRule="auto"/>
        <w:rPr>
          <w:sz w:val="24"/>
          <w:szCs w:val="24"/>
        </w:rPr>
      </w:pPr>
      <w:r>
        <w:rPr>
          <w:rFonts w:hint="eastAsia" w:ascii="宋体" w:hAnsi="宋体"/>
          <w:b/>
          <w:sz w:val="24"/>
          <w:szCs w:val="24"/>
        </w:rPr>
        <w:t>功能描述：</w:t>
      </w:r>
      <w:r>
        <w:rPr>
          <w:rFonts w:hint="eastAsia" w:ascii="宋体" w:hAnsi="宋体"/>
          <w:bCs/>
          <w:sz w:val="24"/>
          <w:szCs w:val="24"/>
        </w:rPr>
        <w:t>本页面</w:t>
      </w:r>
      <w:r>
        <w:rPr>
          <w:rFonts w:hint="eastAsia" w:ascii="宋体" w:hAnsi="宋体"/>
          <w:sz w:val="24"/>
          <w:szCs w:val="24"/>
        </w:rPr>
        <w:t>显示各个医疗机构提交到本企业的</w:t>
      </w:r>
      <w:r>
        <w:rPr>
          <w:rFonts w:hint="eastAsia" w:ascii="宋体" w:hAnsi="宋体"/>
          <w:bCs/>
          <w:sz w:val="24"/>
          <w:szCs w:val="24"/>
        </w:rPr>
        <w:t>耗材</w:t>
      </w:r>
      <w:r>
        <w:rPr>
          <w:rFonts w:hint="eastAsia" w:ascii="宋体" w:hAnsi="宋体"/>
          <w:sz w:val="24"/>
          <w:szCs w:val="24"/>
        </w:rPr>
        <w:t>采购订单，配送企业可查看订单的基本信息，</w:t>
      </w:r>
      <w:r>
        <w:rPr>
          <w:rFonts w:hint="eastAsia"/>
          <w:sz w:val="24"/>
          <w:szCs w:val="24"/>
        </w:rPr>
        <w:t>配送企业可选择对订单做出配送或者不配送</w:t>
      </w:r>
      <w:r>
        <w:rPr>
          <w:rFonts w:hint="eastAsia" w:ascii="宋体" w:hAnsi="宋体"/>
          <w:sz w:val="24"/>
          <w:szCs w:val="24"/>
        </w:rPr>
        <w:t>。如下图所示：</w:t>
      </w:r>
    </w:p>
    <w:p>
      <w:pPr>
        <w:spacing w:line="360" w:lineRule="auto"/>
        <w:jc w:val="center"/>
      </w:pPr>
      <w:r>
        <w:drawing>
          <wp:inline distT="0" distB="0" distL="114300" distR="114300">
            <wp:extent cx="5264785" cy="1146810"/>
            <wp:effectExtent l="0" t="0" r="12065" b="1524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5264785" cy="1146810"/>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配送</w:t>
      </w:r>
    </w:p>
    <w:p>
      <w:pPr>
        <w:spacing w:line="360" w:lineRule="auto"/>
        <w:rPr>
          <w:sz w:val="24"/>
          <w:szCs w:val="24"/>
        </w:rPr>
      </w:pPr>
      <w:r>
        <w:rPr>
          <w:rFonts w:hint="eastAsia" w:ascii="宋体" w:hAnsi="宋体"/>
          <w:b/>
          <w:sz w:val="24"/>
          <w:szCs w:val="24"/>
        </w:rPr>
        <w:t>操作步骤：</w:t>
      </w:r>
      <w:r>
        <w:rPr>
          <w:rFonts w:hint="eastAsia" w:ascii="宋体" w:hAnsi="宋体"/>
          <w:bCs/>
          <w:sz w:val="24"/>
          <w:szCs w:val="24"/>
        </w:rPr>
        <w:t>勾选左侧复选框，单选或多选，</w:t>
      </w:r>
      <w:r>
        <w:rPr>
          <w:rFonts w:hint="eastAsia" w:ascii="宋体" w:hAnsi="宋体"/>
          <w:sz w:val="24"/>
          <w:szCs w:val="24"/>
        </w:rPr>
        <w:t>选中目录背景变蓝色，</w:t>
      </w:r>
      <w:r>
        <w:rPr>
          <w:rFonts w:hint="eastAsia"/>
          <w:sz w:val="24"/>
          <w:szCs w:val="24"/>
        </w:rPr>
        <w:t>填写相应的表单内容，批号，有效期发票代码等，进入配送订单队列（注：</w:t>
      </w:r>
      <w:r>
        <w:rPr>
          <w:rFonts w:hint="eastAsia"/>
          <w:color w:val="FF0000"/>
          <w:sz w:val="24"/>
          <w:szCs w:val="24"/>
        </w:rPr>
        <w:t>配送数量不能大于采购量</w:t>
      </w:r>
      <w:r>
        <w:rPr>
          <w:rFonts w:hint="eastAsia"/>
          <w:sz w:val="24"/>
          <w:szCs w:val="24"/>
        </w:rPr>
        <w:t>），点击【配送】按钮，进行订单配送。</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拒绝配送</w:t>
      </w:r>
    </w:p>
    <w:p>
      <w:pPr>
        <w:spacing w:line="360" w:lineRule="auto"/>
        <w:rPr>
          <w:sz w:val="24"/>
          <w:szCs w:val="24"/>
        </w:rPr>
      </w:pPr>
      <w:r>
        <w:rPr>
          <w:rFonts w:hint="eastAsia" w:ascii="宋体" w:hAnsi="宋体"/>
          <w:b/>
          <w:sz w:val="24"/>
          <w:szCs w:val="24"/>
        </w:rPr>
        <w:t>操作步骤：</w:t>
      </w:r>
      <w:r>
        <w:rPr>
          <w:rFonts w:hint="eastAsia" w:ascii="宋体" w:hAnsi="宋体"/>
          <w:bCs/>
          <w:sz w:val="24"/>
          <w:szCs w:val="24"/>
        </w:rPr>
        <w:t>勾选左侧复选框，单选或多选，</w:t>
      </w:r>
      <w:r>
        <w:rPr>
          <w:rFonts w:hint="eastAsia" w:ascii="宋体" w:hAnsi="宋体"/>
          <w:sz w:val="24"/>
          <w:szCs w:val="24"/>
        </w:rPr>
        <w:t>选中目录背景变蓝色，</w:t>
      </w:r>
      <w:r>
        <w:rPr>
          <w:rFonts w:hint="eastAsia"/>
          <w:sz w:val="24"/>
          <w:szCs w:val="24"/>
        </w:rPr>
        <w:t>点击【拒绝配送】按钮，选择拒绝配送理由，点击确认拒绝配送该条订单。</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编辑拒绝理由</w:t>
      </w:r>
    </w:p>
    <w:p>
      <w:pPr>
        <w:spacing w:line="360" w:lineRule="auto"/>
        <w:rPr>
          <w:sz w:val="24"/>
          <w:szCs w:val="24"/>
        </w:rPr>
      </w:pPr>
      <w:r>
        <w:rPr>
          <w:rFonts w:hint="eastAsia" w:ascii="宋体" w:hAnsi="宋体"/>
          <w:b/>
          <w:sz w:val="24"/>
          <w:szCs w:val="24"/>
        </w:rPr>
        <w:t>操作步骤：</w:t>
      </w:r>
      <w:r>
        <w:rPr>
          <w:rFonts w:hint="eastAsia"/>
          <w:sz w:val="24"/>
          <w:szCs w:val="24"/>
        </w:rPr>
        <w:t>点击【编辑拒绝理由】进入拒绝理由界面，新增拒绝理由或者删除拒绝理由，最后保存。</w:t>
      </w:r>
    </w:p>
    <w:p>
      <w:pPr>
        <w:pStyle w:val="3"/>
        <w:rPr>
          <w:rFonts w:hint="eastAsia" w:ascii="宋体" w:hAnsi="宋体"/>
          <w:lang w:eastAsia="zh-CN"/>
        </w:rPr>
      </w:pPr>
      <w:bookmarkStart w:id="29" w:name="_Toc5559"/>
      <w:r>
        <w:rPr>
          <w:rFonts w:hint="eastAsia" w:ascii="宋体" w:hAnsi="宋体"/>
          <w:lang w:val="en-US" w:eastAsia="zh-CN"/>
        </w:rPr>
        <w:t>4.2</w:t>
      </w:r>
      <w:r>
        <w:rPr>
          <w:rFonts w:hint="eastAsia" w:ascii="宋体" w:hAnsi="宋体"/>
        </w:rPr>
        <w:t xml:space="preserve"> </w:t>
      </w:r>
      <w:r>
        <w:rPr>
          <w:rFonts w:hint="eastAsia" w:ascii="宋体" w:hAnsi="宋体"/>
          <w:lang w:eastAsia="zh-CN"/>
        </w:rPr>
        <w:t>退货确认</w:t>
      </w:r>
      <w:bookmarkEnd w:id="29"/>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点击【</w:t>
      </w:r>
      <w:r>
        <w:rPr>
          <w:rFonts w:hint="eastAsia" w:ascii="宋体" w:hAnsi="宋体" w:cs="宋体"/>
          <w:sz w:val="24"/>
          <w:szCs w:val="24"/>
        </w:rPr>
        <w:t>退货确认</w:t>
      </w:r>
      <w:r>
        <w:rPr>
          <w:rFonts w:hint="eastAsia" w:ascii="宋体" w:hAnsi="宋体"/>
          <w:bCs/>
          <w:sz w:val="24"/>
          <w:szCs w:val="24"/>
        </w:rPr>
        <w:t>】，跳转至</w:t>
      </w:r>
      <w:r>
        <w:rPr>
          <w:rFonts w:hint="eastAsia" w:ascii="宋体" w:hAnsi="宋体" w:cs="宋体"/>
          <w:sz w:val="24"/>
          <w:szCs w:val="24"/>
        </w:rPr>
        <w:t>退货确认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ascii="宋体" w:hAnsi="宋体"/>
          <w:bCs/>
          <w:sz w:val="24"/>
          <w:szCs w:val="24"/>
        </w:rPr>
        <w:t>本页面</w:t>
      </w:r>
      <w:r>
        <w:rPr>
          <w:rFonts w:hint="eastAsia" w:ascii="宋体" w:hAnsi="宋体"/>
          <w:sz w:val="24"/>
          <w:szCs w:val="24"/>
        </w:rPr>
        <w:t>显示各个医疗机构选择退货的订单详情，</w:t>
      </w:r>
      <w:r>
        <w:rPr>
          <w:rFonts w:hint="eastAsia" w:ascii="宋体" w:hAnsi="宋体" w:cs="宋体"/>
          <w:sz w:val="24"/>
          <w:szCs w:val="24"/>
        </w:rPr>
        <w:t>企业可对已退货的订单做出处理。</w:t>
      </w:r>
      <w:r>
        <w:rPr>
          <w:rFonts w:hint="eastAsia" w:ascii="宋体" w:hAnsi="宋体"/>
          <w:sz w:val="24"/>
          <w:szCs w:val="24"/>
        </w:rPr>
        <w:t>如下图所示：</w:t>
      </w:r>
    </w:p>
    <w:p>
      <w:r>
        <w:drawing>
          <wp:inline distT="0" distB="0" distL="114300" distR="114300">
            <wp:extent cx="5272405" cy="946785"/>
            <wp:effectExtent l="0" t="0" r="4445"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5272405" cy="946785"/>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同意退货</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勾选列表中的复选框，点击【同意退货】进入拒绝理由界面表示企业</w:t>
      </w:r>
    </w:p>
    <w:p>
      <w:pPr>
        <w:rPr>
          <w:sz w:val="24"/>
          <w:szCs w:val="24"/>
        </w:rPr>
      </w:pPr>
      <w:r>
        <w:rPr>
          <w:rFonts w:hint="eastAsia"/>
          <w:sz w:val="24"/>
          <w:szCs w:val="24"/>
        </w:rPr>
        <w:t>同意该条订单的退货请求。</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拒绝退货</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勾选列表中的复选框，点击【拒绝退货】，表示企业拒绝退货，并选</w:t>
      </w:r>
    </w:p>
    <w:p>
      <w:pPr>
        <w:ind w:left="480" w:hanging="480" w:hangingChars="200"/>
        <w:rPr>
          <w:sz w:val="24"/>
          <w:szCs w:val="24"/>
        </w:rPr>
      </w:pPr>
      <w:r>
        <w:rPr>
          <w:rFonts w:hint="eastAsia"/>
          <w:sz w:val="24"/>
          <w:szCs w:val="24"/>
        </w:rPr>
        <w:t>择拒绝理由。</w:t>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编辑拒绝理由</w:t>
      </w:r>
    </w:p>
    <w:p>
      <w:pPr>
        <w:ind w:left="482" w:hanging="482" w:hangingChars="200"/>
        <w:rPr>
          <w:sz w:val="24"/>
          <w:szCs w:val="24"/>
        </w:rPr>
      </w:pPr>
      <w:r>
        <w:rPr>
          <w:rFonts w:hint="eastAsia" w:ascii="宋体" w:hAnsi="宋体"/>
          <w:b/>
          <w:sz w:val="24"/>
          <w:szCs w:val="24"/>
        </w:rPr>
        <w:t>操作步骤：</w:t>
      </w:r>
      <w:r>
        <w:rPr>
          <w:rFonts w:hint="eastAsia"/>
          <w:sz w:val="24"/>
          <w:szCs w:val="24"/>
        </w:rPr>
        <w:t>进入编辑界面，企业可以新增或者删除拒绝理由，最后保存。</w:t>
      </w:r>
    </w:p>
    <w:p>
      <w:pPr>
        <w:ind w:left="480" w:hanging="480" w:hangingChars="200"/>
        <w:rPr>
          <w:sz w:val="24"/>
          <w:szCs w:val="24"/>
        </w:rPr>
      </w:pPr>
      <w:r>
        <w:rPr>
          <w:rFonts w:hint="eastAsia"/>
          <w:sz w:val="24"/>
          <w:szCs w:val="24"/>
        </w:rPr>
        <w:t>（</w:t>
      </w:r>
      <w:r>
        <w:rPr>
          <w:rFonts w:hint="eastAsia"/>
          <w:color w:val="FF0000"/>
          <w:sz w:val="24"/>
          <w:szCs w:val="24"/>
        </w:rPr>
        <w:t>注：对已做出选择的退货订单，可在已退货页面查看</w:t>
      </w:r>
      <w:r>
        <w:rPr>
          <w:rFonts w:hint="eastAsia"/>
          <w:sz w:val="24"/>
          <w:szCs w:val="24"/>
        </w:rPr>
        <w:t>）</w:t>
      </w:r>
    </w:p>
    <w:p>
      <w:pPr>
        <w:rPr>
          <w:rFonts w:hint="eastAsia"/>
          <w:lang w:eastAsia="zh-CN"/>
        </w:rPr>
      </w:pPr>
    </w:p>
    <w:p>
      <w:pPr>
        <w:pStyle w:val="3"/>
        <w:rPr>
          <w:rFonts w:hint="eastAsia" w:ascii="宋体" w:hAnsi="宋体"/>
          <w:lang w:eastAsia="zh-CN"/>
        </w:rPr>
      </w:pPr>
      <w:bookmarkStart w:id="30" w:name="_Toc3887"/>
      <w:r>
        <w:rPr>
          <w:rFonts w:hint="eastAsia" w:ascii="宋体" w:hAnsi="宋体"/>
          <w:lang w:val="en-US" w:eastAsia="zh-CN"/>
        </w:rPr>
        <w:t>4.3</w:t>
      </w:r>
      <w:r>
        <w:rPr>
          <w:rFonts w:hint="eastAsia" w:ascii="宋体" w:hAnsi="宋体"/>
        </w:rPr>
        <w:t xml:space="preserve"> </w:t>
      </w:r>
      <w:r>
        <w:rPr>
          <w:rFonts w:hint="eastAsia" w:ascii="宋体" w:hAnsi="宋体"/>
          <w:lang w:eastAsia="zh-CN"/>
        </w:rPr>
        <w:t>退货发票维护</w:t>
      </w:r>
      <w:bookmarkEnd w:id="30"/>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w:t>
      </w:r>
      <w:r>
        <w:rPr>
          <w:rFonts w:hint="eastAsia"/>
          <w:sz w:val="24"/>
          <w:szCs w:val="24"/>
        </w:rPr>
        <w:t>订单操作</w:t>
      </w:r>
      <w:r>
        <w:rPr>
          <w:rFonts w:hint="eastAsia" w:ascii="宋体" w:hAnsi="宋体"/>
          <w:bCs/>
          <w:sz w:val="24"/>
          <w:szCs w:val="24"/>
        </w:rPr>
        <w:t>菜单点击【</w:t>
      </w:r>
      <w:r>
        <w:rPr>
          <w:rFonts w:hint="eastAsia"/>
          <w:sz w:val="24"/>
          <w:szCs w:val="24"/>
        </w:rPr>
        <w:t>退货发票维护</w:t>
      </w:r>
      <w:r>
        <w:rPr>
          <w:rFonts w:hint="eastAsia" w:ascii="宋体" w:hAnsi="宋体"/>
          <w:bCs/>
          <w:sz w:val="24"/>
          <w:szCs w:val="24"/>
        </w:rPr>
        <w:t>】，跳转至</w:t>
      </w:r>
      <w:r>
        <w:rPr>
          <w:rFonts w:hint="eastAsia"/>
          <w:sz w:val="24"/>
          <w:szCs w:val="24"/>
        </w:rPr>
        <w:t>退货发票维护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sz w:val="24"/>
          <w:szCs w:val="24"/>
        </w:rPr>
        <w:t>企业可以对已退货的订单维护退货发票</w:t>
      </w:r>
      <w:r>
        <w:rPr>
          <w:rFonts w:hint="eastAsia" w:ascii="宋体" w:hAnsi="宋体" w:cs="宋体"/>
          <w:sz w:val="24"/>
          <w:szCs w:val="24"/>
        </w:rPr>
        <w:t>。</w:t>
      </w:r>
      <w:r>
        <w:rPr>
          <w:rFonts w:hint="eastAsia" w:ascii="宋体" w:hAnsi="宋体"/>
          <w:sz w:val="24"/>
          <w:szCs w:val="24"/>
        </w:rPr>
        <w:t>如下图所示：</w:t>
      </w:r>
    </w:p>
    <w:p>
      <w:r>
        <w:drawing>
          <wp:inline distT="0" distB="0" distL="114300" distR="114300">
            <wp:extent cx="5269865" cy="1325880"/>
            <wp:effectExtent l="0" t="0" r="6985"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6"/>
                    <a:stretch>
                      <a:fillRect/>
                    </a:stretch>
                  </pic:blipFill>
                  <pic:spPr>
                    <a:xfrm>
                      <a:off x="0" y="0"/>
                      <a:ext cx="5269865" cy="1325880"/>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维护</w:t>
      </w:r>
    </w:p>
    <w:p>
      <w:pPr>
        <w:ind w:left="482" w:hanging="482" w:hangingChars="200"/>
        <w:rPr>
          <w:sz w:val="24"/>
          <w:szCs w:val="24"/>
        </w:rPr>
      </w:pPr>
      <w:r>
        <w:rPr>
          <w:rFonts w:hint="eastAsia" w:ascii="宋体" w:hAnsi="宋体"/>
          <w:b/>
          <w:sz w:val="24"/>
          <w:szCs w:val="24"/>
        </w:rPr>
        <w:t>操作步骤：</w:t>
      </w:r>
      <w:r>
        <w:rPr>
          <w:rFonts w:hint="eastAsia"/>
          <w:sz w:val="24"/>
          <w:szCs w:val="24"/>
        </w:rPr>
        <w:t>勾选列表中的退货订单，填写相应的表单（退货发票号和发票代码）</w:t>
      </w:r>
    </w:p>
    <w:p>
      <w:pPr>
        <w:rPr>
          <w:sz w:val="24"/>
          <w:szCs w:val="24"/>
        </w:rPr>
      </w:pPr>
      <w:r>
        <w:rPr>
          <w:rFonts w:hint="eastAsia"/>
          <w:sz w:val="24"/>
          <w:szCs w:val="24"/>
        </w:rPr>
        <w:t>后，点击【维护】按钮。（</w:t>
      </w:r>
      <w:r>
        <w:rPr>
          <w:rFonts w:hint="eastAsia"/>
          <w:color w:val="FF0000"/>
          <w:sz w:val="24"/>
          <w:szCs w:val="24"/>
        </w:rPr>
        <w:t>注：已维护过退货发票的订单可在已维护退货发票页面查看</w:t>
      </w:r>
      <w:r>
        <w:rPr>
          <w:rFonts w:hint="eastAsia"/>
          <w:sz w:val="24"/>
          <w:szCs w:val="24"/>
        </w:rPr>
        <w:t>）</w:t>
      </w:r>
    </w:p>
    <w:p>
      <w:pPr>
        <w:pStyle w:val="3"/>
        <w:rPr>
          <w:rFonts w:hint="eastAsia" w:ascii="宋体" w:hAnsi="宋体"/>
          <w:lang w:eastAsia="zh-CN"/>
        </w:rPr>
      </w:pPr>
      <w:bookmarkStart w:id="31" w:name="_Toc21838"/>
      <w:r>
        <w:rPr>
          <w:rFonts w:hint="eastAsia" w:ascii="宋体" w:hAnsi="宋体"/>
          <w:lang w:val="en-US" w:eastAsia="zh-CN"/>
        </w:rPr>
        <w:t>4.4</w:t>
      </w:r>
      <w:r>
        <w:rPr>
          <w:rFonts w:hint="eastAsia" w:ascii="宋体" w:hAnsi="宋体"/>
        </w:rPr>
        <w:t xml:space="preserve"> </w:t>
      </w:r>
      <w:r>
        <w:rPr>
          <w:rFonts w:hint="eastAsia" w:ascii="宋体" w:hAnsi="宋体"/>
          <w:lang w:eastAsia="zh-CN"/>
        </w:rPr>
        <w:t>发票维护</w:t>
      </w:r>
      <w:bookmarkEnd w:id="31"/>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w:t>
      </w:r>
      <w:r>
        <w:rPr>
          <w:rFonts w:hint="eastAsia"/>
          <w:sz w:val="24"/>
          <w:szCs w:val="24"/>
        </w:rPr>
        <w:t>订单操作</w:t>
      </w:r>
      <w:r>
        <w:rPr>
          <w:rFonts w:hint="eastAsia" w:ascii="宋体" w:hAnsi="宋体"/>
          <w:bCs/>
          <w:sz w:val="24"/>
          <w:szCs w:val="24"/>
        </w:rPr>
        <w:t>菜单点击【</w:t>
      </w:r>
      <w:r>
        <w:rPr>
          <w:rFonts w:hint="eastAsia"/>
          <w:sz w:val="24"/>
          <w:szCs w:val="24"/>
        </w:rPr>
        <w:t>发票</w:t>
      </w:r>
      <w:r>
        <w:rPr>
          <w:rFonts w:hint="eastAsia"/>
          <w:sz w:val="24"/>
          <w:szCs w:val="24"/>
          <w:lang w:val="en-US" w:eastAsia="zh-CN"/>
        </w:rPr>
        <w:t>维护</w:t>
      </w:r>
      <w:r>
        <w:rPr>
          <w:rFonts w:hint="eastAsia" w:ascii="宋体" w:hAnsi="宋体"/>
          <w:bCs/>
          <w:sz w:val="24"/>
          <w:szCs w:val="24"/>
        </w:rPr>
        <w:t>】，跳转至</w:t>
      </w:r>
      <w:r>
        <w:rPr>
          <w:rFonts w:hint="eastAsia"/>
          <w:sz w:val="24"/>
          <w:szCs w:val="24"/>
        </w:rPr>
        <w:t>发票</w:t>
      </w:r>
      <w:r>
        <w:rPr>
          <w:rFonts w:hint="eastAsia"/>
          <w:sz w:val="24"/>
          <w:szCs w:val="24"/>
          <w:lang w:val="en-US" w:eastAsia="zh-CN"/>
        </w:rPr>
        <w:t>维护</w:t>
      </w:r>
      <w:r>
        <w:rPr>
          <w:rFonts w:hint="eastAsia" w:ascii="宋体" w:hAnsi="宋体"/>
          <w:bCs/>
          <w:sz w:val="24"/>
          <w:szCs w:val="24"/>
        </w:rPr>
        <w:t>界面。</w:t>
      </w:r>
    </w:p>
    <w:p>
      <w:pPr>
        <w:spacing w:line="360" w:lineRule="auto"/>
        <w:rPr>
          <w:rFonts w:ascii="宋体" w:hAnsi="宋体" w:cs="宋体"/>
        </w:rPr>
      </w:pPr>
      <w:r>
        <w:rPr>
          <w:rFonts w:hint="eastAsia" w:ascii="宋体" w:hAnsi="宋体"/>
          <w:b/>
          <w:sz w:val="24"/>
          <w:szCs w:val="24"/>
        </w:rPr>
        <w:t>功能描述：</w:t>
      </w:r>
      <w:r>
        <w:rPr>
          <w:rFonts w:hint="eastAsia"/>
          <w:sz w:val="24"/>
          <w:szCs w:val="24"/>
        </w:rPr>
        <w:t>企业可对配送订单更新发票</w:t>
      </w:r>
      <w:r>
        <w:rPr>
          <w:rFonts w:hint="eastAsia" w:ascii="宋体" w:hAnsi="宋体" w:cs="宋体"/>
          <w:sz w:val="24"/>
          <w:szCs w:val="24"/>
        </w:rPr>
        <w:t>。如下图所示：</w:t>
      </w:r>
    </w:p>
    <w:p>
      <w:r>
        <w:drawing>
          <wp:inline distT="0" distB="0" distL="114300" distR="114300">
            <wp:extent cx="5272405" cy="1659255"/>
            <wp:effectExtent l="0" t="0" r="4445" b="171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5272405" cy="1659255"/>
                    </a:xfrm>
                    <a:prstGeom prst="rect">
                      <a:avLst/>
                    </a:prstGeom>
                    <a:noFill/>
                    <a:ln>
                      <a:noFill/>
                    </a:ln>
                  </pic:spPr>
                </pic:pic>
              </a:graphicData>
            </a:graphic>
          </wp:inline>
        </w:drawing>
      </w:r>
    </w:p>
    <w:p>
      <w:pPr>
        <w:pStyle w:val="11"/>
        <w:numPr>
          <w:ilvl w:val="0"/>
          <w:numId w:val="1"/>
        </w:numPr>
        <w:spacing w:line="360" w:lineRule="auto"/>
        <w:ind w:firstLineChars="0"/>
        <w:rPr>
          <w:rFonts w:ascii="宋体" w:hAnsi="宋体"/>
          <w:sz w:val="24"/>
          <w:szCs w:val="24"/>
        </w:rPr>
      </w:pPr>
      <w:r>
        <w:rPr>
          <w:rFonts w:hint="eastAsia" w:ascii="宋体" w:hAnsi="宋体"/>
          <w:sz w:val="24"/>
          <w:szCs w:val="24"/>
        </w:rPr>
        <w:t>确定</w:t>
      </w:r>
      <w:r>
        <w:rPr>
          <w:rFonts w:hint="eastAsia" w:ascii="宋体" w:hAnsi="宋体"/>
          <w:sz w:val="24"/>
          <w:szCs w:val="24"/>
          <w:lang w:val="en-US" w:eastAsia="zh-CN"/>
        </w:rPr>
        <w:t>维护</w:t>
      </w:r>
    </w:p>
    <w:p>
      <w:pPr>
        <w:rPr>
          <w:sz w:val="24"/>
          <w:szCs w:val="24"/>
        </w:rPr>
      </w:pPr>
      <w:r>
        <w:rPr>
          <w:rFonts w:hint="eastAsia" w:ascii="宋体" w:hAnsi="宋体"/>
          <w:b/>
          <w:sz w:val="24"/>
          <w:szCs w:val="24"/>
        </w:rPr>
        <w:t>操作步骤：</w:t>
      </w:r>
      <w:r>
        <w:rPr>
          <w:rFonts w:hint="eastAsia"/>
          <w:sz w:val="24"/>
          <w:szCs w:val="24"/>
        </w:rPr>
        <w:t>勾选需要</w:t>
      </w:r>
      <w:r>
        <w:rPr>
          <w:rFonts w:hint="eastAsia"/>
          <w:sz w:val="24"/>
          <w:szCs w:val="24"/>
          <w:lang w:val="en-US" w:eastAsia="zh-CN"/>
        </w:rPr>
        <w:t>维护</w:t>
      </w:r>
      <w:r>
        <w:rPr>
          <w:rFonts w:hint="eastAsia"/>
          <w:sz w:val="24"/>
          <w:szCs w:val="24"/>
        </w:rPr>
        <w:t>发票号的订单，维护好发票号</w:t>
      </w:r>
      <w:r>
        <w:rPr>
          <w:rFonts w:hint="eastAsia"/>
          <w:sz w:val="24"/>
          <w:szCs w:val="24"/>
          <w:lang w:val="en-US" w:eastAsia="zh-CN"/>
        </w:rPr>
        <w:t>以及</w:t>
      </w:r>
      <w:r>
        <w:rPr>
          <w:rFonts w:hint="eastAsia"/>
          <w:sz w:val="24"/>
          <w:szCs w:val="24"/>
        </w:rPr>
        <w:t>发票代码，点击【确认</w:t>
      </w:r>
      <w:r>
        <w:rPr>
          <w:rFonts w:hint="eastAsia"/>
          <w:sz w:val="24"/>
          <w:szCs w:val="24"/>
          <w:lang w:val="en-US" w:eastAsia="zh-CN"/>
        </w:rPr>
        <w:t>维护</w:t>
      </w:r>
      <w:r>
        <w:rPr>
          <w:rFonts w:hint="eastAsia"/>
          <w:sz w:val="24"/>
          <w:szCs w:val="24"/>
        </w:rPr>
        <w:t>】。确认无误后点击【批量维护】维护发票代码</w:t>
      </w:r>
    </w:p>
    <w:p>
      <w:pPr>
        <w:spacing w:line="360" w:lineRule="auto"/>
        <w:rPr>
          <w:rFonts w:ascii="宋体" w:hAnsi="宋体"/>
          <w:sz w:val="24"/>
          <w:szCs w:val="24"/>
        </w:rPr>
      </w:pPr>
    </w:p>
    <w:p>
      <w:pPr>
        <w:spacing w:line="360" w:lineRule="auto"/>
        <w:jc w:val="center"/>
        <w:rPr>
          <w:rFonts w:ascii="宋体" w:hAnsi="宋体"/>
          <w:sz w:val="24"/>
          <w:szCs w:val="24"/>
        </w:rPr>
      </w:pPr>
    </w:p>
    <w:bookmarkEnd w:id="24"/>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9" w:usb3="00000000" w:csb0="200001F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5NmU3ZWI2ODg2ZDBiYjk3N2ZkYjE5MjBjOTA4NTgifQ=="/>
  </w:docVars>
  <w:rsids>
    <w:rsidRoot w:val="00FF123B"/>
    <w:rsid w:val="00001C60"/>
    <w:rsid w:val="00022240"/>
    <w:rsid w:val="00022F18"/>
    <w:rsid w:val="000468E0"/>
    <w:rsid w:val="00053655"/>
    <w:rsid w:val="00063B67"/>
    <w:rsid w:val="00071EE7"/>
    <w:rsid w:val="00083FF7"/>
    <w:rsid w:val="000928C1"/>
    <w:rsid w:val="000A7CAE"/>
    <w:rsid w:val="000C426D"/>
    <w:rsid w:val="00156821"/>
    <w:rsid w:val="00190551"/>
    <w:rsid w:val="001931EE"/>
    <w:rsid w:val="001F4DBC"/>
    <w:rsid w:val="002027D1"/>
    <w:rsid w:val="0021156C"/>
    <w:rsid w:val="002328A1"/>
    <w:rsid w:val="00233773"/>
    <w:rsid w:val="002705C3"/>
    <w:rsid w:val="00282E11"/>
    <w:rsid w:val="0029768E"/>
    <w:rsid w:val="002A6A20"/>
    <w:rsid w:val="002D645E"/>
    <w:rsid w:val="002F3292"/>
    <w:rsid w:val="0032114D"/>
    <w:rsid w:val="00351A31"/>
    <w:rsid w:val="003545B3"/>
    <w:rsid w:val="003940E2"/>
    <w:rsid w:val="003C4BD1"/>
    <w:rsid w:val="003D7BD9"/>
    <w:rsid w:val="003E02BB"/>
    <w:rsid w:val="003E10D7"/>
    <w:rsid w:val="004374CA"/>
    <w:rsid w:val="00451FF8"/>
    <w:rsid w:val="00456B0B"/>
    <w:rsid w:val="00456EB1"/>
    <w:rsid w:val="004C34EE"/>
    <w:rsid w:val="004C36A2"/>
    <w:rsid w:val="004F3EFE"/>
    <w:rsid w:val="00502922"/>
    <w:rsid w:val="00502ABA"/>
    <w:rsid w:val="0050354F"/>
    <w:rsid w:val="005129FB"/>
    <w:rsid w:val="00562669"/>
    <w:rsid w:val="005835BB"/>
    <w:rsid w:val="005E1207"/>
    <w:rsid w:val="005F6DC1"/>
    <w:rsid w:val="00605101"/>
    <w:rsid w:val="006300F1"/>
    <w:rsid w:val="006502C4"/>
    <w:rsid w:val="0067297B"/>
    <w:rsid w:val="00677D1A"/>
    <w:rsid w:val="00694BF2"/>
    <w:rsid w:val="006A278F"/>
    <w:rsid w:val="006A6ACD"/>
    <w:rsid w:val="006B09ED"/>
    <w:rsid w:val="006C50E7"/>
    <w:rsid w:val="0070261C"/>
    <w:rsid w:val="007044C2"/>
    <w:rsid w:val="00712635"/>
    <w:rsid w:val="00770832"/>
    <w:rsid w:val="007762D6"/>
    <w:rsid w:val="00783735"/>
    <w:rsid w:val="007861F5"/>
    <w:rsid w:val="00793804"/>
    <w:rsid w:val="007B4004"/>
    <w:rsid w:val="007B4175"/>
    <w:rsid w:val="007B43FB"/>
    <w:rsid w:val="007E06A4"/>
    <w:rsid w:val="007F0264"/>
    <w:rsid w:val="00804E50"/>
    <w:rsid w:val="0082152E"/>
    <w:rsid w:val="00851C73"/>
    <w:rsid w:val="00887BAB"/>
    <w:rsid w:val="008B3D40"/>
    <w:rsid w:val="008B4E31"/>
    <w:rsid w:val="008C29A8"/>
    <w:rsid w:val="008E2F15"/>
    <w:rsid w:val="008E3073"/>
    <w:rsid w:val="008F7803"/>
    <w:rsid w:val="00906851"/>
    <w:rsid w:val="00913E76"/>
    <w:rsid w:val="0091521F"/>
    <w:rsid w:val="00915260"/>
    <w:rsid w:val="009324C7"/>
    <w:rsid w:val="00934720"/>
    <w:rsid w:val="00941B12"/>
    <w:rsid w:val="00944C84"/>
    <w:rsid w:val="00947476"/>
    <w:rsid w:val="00966BCE"/>
    <w:rsid w:val="00991571"/>
    <w:rsid w:val="009E2D65"/>
    <w:rsid w:val="009E7C2E"/>
    <w:rsid w:val="00A015BE"/>
    <w:rsid w:val="00A117B2"/>
    <w:rsid w:val="00A13935"/>
    <w:rsid w:val="00A231E1"/>
    <w:rsid w:val="00A4333E"/>
    <w:rsid w:val="00A60723"/>
    <w:rsid w:val="00A73F00"/>
    <w:rsid w:val="00A90EE1"/>
    <w:rsid w:val="00A97287"/>
    <w:rsid w:val="00AC7AFA"/>
    <w:rsid w:val="00AD2BAF"/>
    <w:rsid w:val="00B32502"/>
    <w:rsid w:val="00B430D9"/>
    <w:rsid w:val="00B532F8"/>
    <w:rsid w:val="00B549B3"/>
    <w:rsid w:val="00BB6A0D"/>
    <w:rsid w:val="00BC3BBF"/>
    <w:rsid w:val="00BD2D68"/>
    <w:rsid w:val="00BE3E76"/>
    <w:rsid w:val="00C00BB0"/>
    <w:rsid w:val="00C451F9"/>
    <w:rsid w:val="00C60CF3"/>
    <w:rsid w:val="00C618E9"/>
    <w:rsid w:val="00C67B2A"/>
    <w:rsid w:val="00C71FED"/>
    <w:rsid w:val="00C74569"/>
    <w:rsid w:val="00C80B9E"/>
    <w:rsid w:val="00CC31E3"/>
    <w:rsid w:val="00CD1E22"/>
    <w:rsid w:val="00CE6BE4"/>
    <w:rsid w:val="00CF0C07"/>
    <w:rsid w:val="00D12FD8"/>
    <w:rsid w:val="00D14DB4"/>
    <w:rsid w:val="00D26473"/>
    <w:rsid w:val="00D453BC"/>
    <w:rsid w:val="00D711A3"/>
    <w:rsid w:val="00D76A60"/>
    <w:rsid w:val="00D86140"/>
    <w:rsid w:val="00DB129E"/>
    <w:rsid w:val="00DB5B22"/>
    <w:rsid w:val="00DD2FE7"/>
    <w:rsid w:val="00DE1297"/>
    <w:rsid w:val="00E00D18"/>
    <w:rsid w:val="00E4319A"/>
    <w:rsid w:val="00E4341E"/>
    <w:rsid w:val="00E45173"/>
    <w:rsid w:val="00E55DE8"/>
    <w:rsid w:val="00EA38B4"/>
    <w:rsid w:val="00F00F0A"/>
    <w:rsid w:val="00F13AC9"/>
    <w:rsid w:val="00F22AA7"/>
    <w:rsid w:val="00F45A7B"/>
    <w:rsid w:val="00F825A7"/>
    <w:rsid w:val="00FF123B"/>
    <w:rsid w:val="05C76BE2"/>
    <w:rsid w:val="0C0B087A"/>
    <w:rsid w:val="0C2F5E90"/>
    <w:rsid w:val="0F664EAC"/>
    <w:rsid w:val="1A381BA2"/>
    <w:rsid w:val="1B4C4D99"/>
    <w:rsid w:val="24B81646"/>
    <w:rsid w:val="298E594C"/>
    <w:rsid w:val="2FA03AA1"/>
    <w:rsid w:val="353A085B"/>
    <w:rsid w:val="3614254C"/>
    <w:rsid w:val="3C80076A"/>
    <w:rsid w:val="3E7D5528"/>
    <w:rsid w:val="406E7E4F"/>
    <w:rsid w:val="46BC7147"/>
    <w:rsid w:val="47C87D59"/>
    <w:rsid w:val="489A72FB"/>
    <w:rsid w:val="4E1657EB"/>
    <w:rsid w:val="50284FD7"/>
    <w:rsid w:val="524B7F2C"/>
    <w:rsid w:val="542950F3"/>
    <w:rsid w:val="5BA86323"/>
    <w:rsid w:val="638A356D"/>
    <w:rsid w:val="647337A5"/>
    <w:rsid w:val="65B56DA8"/>
    <w:rsid w:val="68E109F2"/>
    <w:rsid w:val="6B83354F"/>
    <w:rsid w:val="6DA740C0"/>
    <w:rsid w:val="79907684"/>
    <w:rsid w:val="7B4B1EAE"/>
    <w:rsid w:val="7BEC209C"/>
    <w:rsid w:val="7E9D32F0"/>
    <w:rsid w:val="7EB6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autoRedefine/>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0"/>
    <w:autoRedefine/>
    <w:semiHidden/>
    <w:unhideWhenUsed/>
    <w:qFormat/>
    <w:uiPriority w:val="9"/>
    <w:pPr>
      <w:keepNext/>
      <w:keepLines/>
      <w:spacing w:before="260" w:after="260" w:line="415" w:lineRule="auto"/>
      <w:outlineLvl w:val="1"/>
    </w:pPr>
    <w:rPr>
      <w:rFonts w:ascii="Calibri Light" w:hAnsi="Calibri Light"/>
      <w:b/>
      <w:bCs/>
      <w:sz w:val="32"/>
      <w:szCs w:val="32"/>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4">
    <w:name w:val="toc 1"/>
    <w:basedOn w:val="1"/>
    <w:next w:val="1"/>
    <w:autoRedefine/>
    <w:semiHidden/>
    <w:unhideWhenUsed/>
    <w:qFormat/>
    <w:uiPriority w:val="39"/>
  </w:style>
  <w:style w:type="paragraph" w:styleId="5">
    <w:name w:val="toc 2"/>
    <w:basedOn w:val="1"/>
    <w:next w:val="1"/>
    <w:autoRedefine/>
    <w:semiHidden/>
    <w:unhideWhenUsed/>
    <w:qFormat/>
    <w:uiPriority w:val="39"/>
    <w:pPr>
      <w:ind w:left="420" w:leftChars="200"/>
    </w:pPr>
  </w:style>
  <w:style w:type="character" w:styleId="8">
    <w:name w:val="Hyperlink"/>
    <w:autoRedefine/>
    <w:semiHidden/>
    <w:unhideWhenUsed/>
    <w:qFormat/>
    <w:uiPriority w:val="99"/>
    <w:rPr>
      <w:color w:val="0563C1"/>
      <w:u w:val="single"/>
    </w:rPr>
  </w:style>
  <w:style w:type="character" w:customStyle="1" w:styleId="9">
    <w:name w:val="标题 1 字符"/>
    <w:basedOn w:val="7"/>
    <w:link w:val="2"/>
    <w:autoRedefine/>
    <w:qFormat/>
    <w:uiPriority w:val="9"/>
    <w:rPr>
      <w:rFonts w:ascii="Calibri" w:hAnsi="Calibri" w:eastAsia="宋体" w:cs="Times New Roman"/>
      <w:b/>
      <w:bCs/>
      <w:kern w:val="44"/>
      <w:sz w:val="44"/>
      <w:szCs w:val="44"/>
    </w:rPr>
  </w:style>
  <w:style w:type="character" w:customStyle="1" w:styleId="10">
    <w:name w:val="标题 2 字符"/>
    <w:basedOn w:val="7"/>
    <w:link w:val="3"/>
    <w:autoRedefine/>
    <w:semiHidden/>
    <w:qFormat/>
    <w:uiPriority w:val="9"/>
    <w:rPr>
      <w:rFonts w:ascii="Calibri Light" w:hAnsi="Calibri Light" w:eastAsia="宋体" w:cs="Times New Roman"/>
      <w:b/>
      <w:bCs/>
      <w:sz w:val="32"/>
      <w:szCs w:val="32"/>
    </w:rPr>
  </w:style>
  <w:style w:type="paragraph" w:customStyle="1" w:styleId="11">
    <w:name w:val="列出段落1"/>
    <w:basedOn w:val="1"/>
    <w:autoRedefine/>
    <w:qFormat/>
    <w:uiPriority w:val="34"/>
    <w:pPr>
      <w:ind w:firstLine="420" w:firstLineChars="200"/>
    </w:pPr>
  </w:style>
  <w:style w:type="paragraph" w:customStyle="1" w:styleId="12">
    <w:name w:val="TOC 标题2"/>
    <w:basedOn w:val="2"/>
    <w:next w:val="1"/>
    <w:autoRedefine/>
    <w:qFormat/>
    <w:uiPriority w:val="39"/>
    <w:pPr>
      <w:widowControl/>
      <w:spacing w:before="240" w:after="0" w:line="256"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18B27-51F0-4AAD-8DFE-E8439ADD090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1170</Words>
  <Characters>6671</Characters>
  <Lines>55</Lines>
  <Paragraphs>15</Paragraphs>
  <TotalTime>18</TotalTime>
  <ScaleCrop>false</ScaleCrop>
  <LinksUpToDate>false</LinksUpToDate>
  <CharactersWithSpaces>7826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2021-03-31T02:06:00Z</dcterms:created>
  <dc:creator>283528955@qq.com</dc:creator>
  <cp:lastModifiedBy>Administrator</cp:lastModifiedBy>
  <cp:lastPrinted>2021-04-01T09:19:00Z</cp:lastPrinted>
  <dcterms:modified xsi:type="dcterms:W3CDTF">2024-04-24T02:32:30Z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A3CCE84B54FF45F09934C21DDFF50D45_13</vt:lpwstr>
  </property>
</Properties>
</file>