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eastAsia="宋体"/>
          <w:sz w:val="44"/>
          <w:szCs w:val="44"/>
          <w:lang w:val="en-US" w:eastAsia="zh-CN"/>
        </w:rPr>
      </w:pPr>
      <w:r>
        <w:rPr>
          <w:rFonts w:hint="eastAsia"/>
          <w:sz w:val="44"/>
          <w:szCs w:val="44"/>
          <w:lang w:val="en-US" w:eastAsia="zh-CN"/>
        </w:rPr>
        <w:t xml:space="preserve"> </w:t>
      </w:r>
    </w:p>
    <w:p>
      <w:pPr>
        <w:jc w:val="center"/>
        <w:rPr>
          <w:rFonts w:hint="eastAsia" w:ascii="Arial Unicode MS" w:hAnsi="Arial Unicode MS" w:eastAsia="Arial Unicode MS" w:cs="Arial Unicode MS"/>
          <w:sz w:val="44"/>
          <w:szCs w:val="44"/>
        </w:rPr>
      </w:pPr>
    </w:p>
    <w:p>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eastAsia="zh-CN"/>
        </w:rPr>
        <w:t>甘肃</w:t>
      </w:r>
      <w:r>
        <w:rPr>
          <w:rFonts w:hint="eastAsia" w:ascii="方正公文小标宋" w:hAnsi="方正公文小标宋" w:eastAsia="方正公文小标宋" w:cs="方正公文小标宋"/>
          <w:sz w:val="44"/>
          <w:szCs w:val="44"/>
        </w:rPr>
        <w:t>省</w:t>
      </w:r>
      <w:r>
        <w:rPr>
          <w:rFonts w:hint="eastAsia" w:ascii="方正公文小标宋" w:hAnsi="方正公文小标宋" w:eastAsia="方正公文小标宋" w:cs="方正公文小标宋"/>
          <w:sz w:val="44"/>
          <w:szCs w:val="44"/>
          <w:lang w:val="en-US" w:eastAsia="zh-CN"/>
        </w:rPr>
        <w:t>甲状腺功能检测试剂</w:t>
      </w:r>
    </w:p>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集中带量采购文件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（采购文件编号：GS-</w:t>
      </w:r>
      <w:r>
        <w:rPr>
          <w:rFonts w:hint="eastAsia" w:ascii="仿宋_GB2312" w:hAnsi="仿宋_GB2312" w:eastAsia="仿宋_GB2312" w:cs="仿宋_GB2312"/>
          <w:sz w:val="32"/>
          <w:szCs w:val="32"/>
          <w:lang w:val="en-US" w:eastAsia="zh-CN"/>
        </w:rPr>
        <w:t>IVD</w:t>
      </w:r>
      <w:r>
        <w:rPr>
          <w:rFonts w:hint="eastAsia" w:ascii="仿宋_GB2312" w:hAnsi="仿宋_GB2312" w:eastAsia="仿宋_GB2312" w:cs="仿宋_GB2312"/>
          <w:sz w:val="32"/>
          <w:szCs w:val="32"/>
          <w:lang w:eastAsia="zh-CN"/>
        </w:rPr>
        <w:t>DLCG202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pStyle w:val="24"/>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4"/>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甘肃省医疗保障局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w:t>
      </w:r>
    </w:p>
    <w:p>
      <w:pPr>
        <w:pStyle w:val="14"/>
        <w:tabs>
          <w:tab w:val="right" w:leader="dot" w:pos="8470"/>
        </w:tabs>
        <w:jc w:val="center"/>
        <w:rPr>
          <w:rFonts w:hint="eastAsia" w:ascii="Arial Unicode MS" w:hAnsi="Arial Unicode MS" w:eastAsia="Arial Unicode MS" w:cs="Arial Unicode MS"/>
          <w:sz w:val="44"/>
          <w:szCs w:val="44"/>
          <w:lang w:eastAsia="zh-CN"/>
        </w:rPr>
        <w:sectPr>
          <w:headerReference r:id="rId3" w:type="default"/>
          <w:pgSz w:w="11906" w:h="16838"/>
          <w:pgMar w:top="1928" w:right="1587" w:bottom="1474" w:left="1587" w:header="851" w:footer="992" w:gutter="0"/>
          <w:pgNumType w:fmt="numberInDash"/>
          <w:cols w:space="0" w:num="1"/>
          <w:rtlGutter w:val="0"/>
          <w:docGrid w:type="lines" w:linePitch="312" w:charSpace="0"/>
        </w:sectPr>
      </w:pPr>
    </w:p>
    <w:p>
      <w:pPr>
        <w:pStyle w:val="14"/>
        <w:tabs>
          <w:tab w:val="right" w:leader="dot" w:pos="8470"/>
        </w:tabs>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lang w:eastAsia="zh-CN"/>
        </w:rPr>
        <w:t>录</w:t>
      </w:r>
    </w:p>
    <w:p>
      <w:pPr>
        <w:pStyle w:val="14"/>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fldChar w:fldCharType="begin"/>
      </w:r>
      <w:r>
        <w:rPr>
          <w:rFonts w:hint="eastAsia" w:ascii="仿宋_GB2312" w:hAnsi="仿宋_GB2312" w:eastAsia="仿宋_GB2312" w:cs="仿宋_GB2312"/>
          <w:b w:val="0"/>
          <w:bCs w:val="0"/>
          <w:sz w:val="32"/>
          <w:szCs w:val="32"/>
          <w:lang w:eastAsia="zh-CN"/>
        </w:rPr>
        <w:instrText xml:space="preserve">TOC \o "1-3" \h \u </w:instrText>
      </w:r>
      <w:r>
        <w:rPr>
          <w:rFonts w:hint="eastAsia" w:ascii="仿宋_GB2312" w:hAnsi="仿宋_GB2312" w:eastAsia="仿宋_GB2312" w:cs="仿宋_GB2312"/>
          <w:b w:val="0"/>
          <w:bCs w:val="0"/>
          <w:sz w:val="32"/>
          <w:szCs w:val="32"/>
          <w:lang w:eastAsia="zh-CN"/>
        </w:rPr>
        <w:fldChar w:fldCharType="separate"/>
      </w:r>
      <w:r>
        <w:rPr>
          <w:rFonts w:hint="eastAsia" w:ascii="仿宋_GB2312" w:hAnsi="仿宋_GB2312" w:eastAsia="仿宋_GB2312" w:cs="仿宋_GB2312"/>
          <w:bCs w:val="0"/>
          <w:spacing w:val="-20"/>
          <w:kern w:val="2"/>
          <w:sz w:val="32"/>
          <w:szCs w:val="32"/>
          <w:lang w:val="en-US" w:eastAsia="zh-CN" w:bidi="ar-SA"/>
        </w:rPr>
        <w:fldChar w:fldCharType="begin"/>
      </w:r>
      <w:r>
        <w:rPr>
          <w:rFonts w:hint="eastAsia" w:ascii="仿宋_GB2312" w:hAnsi="仿宋_GB2312" w:eastAsia="仿宋_GB2312" w:cs="仿宋_GB2312"/>
          <w:bCs w:val="0"/>
          <w:spacing w:val="-20"/>
          <w:kern w:val="2"/>
          <w:sz w:val="32"/>
          <w:szCs w:val="32"/>
          <w:lang w:val="en-US" w:eastAsia="zh-CN" w:bidi="ar-SA"/>
        </w:rPr>
        <w:instrText xml:space="preserve"> HYPERLINK \l _Toc30958 </w:instrText>
      </w:r>
      <w:r>
        <w:rPr>
          <w:rFonts w:hint="eastAsia" w:ascii="仿宋_GB2312" w:hAnsi="仿宋_GB2312" w:eastAsia="仿宋_GB2312" w:cs="仿宋_GB2312"/>
          <w:bCs w:val="0"/>
          <w:spacing w:val="-20"/>
          <w:kern w:val="2"/>
          <w:sz w:val="32"/>
          <w:szCs w:val="32"/>
          <w:lang w:val="en-US" w:eastAsia="zh-CN" w:bidi="ar-SA"/>
        </w:rPr>
        <w:fldChar w:fldCharType="separate"/>
      </w:r>
      <w:r>
        <w:rPr>
          <w:rFonts w:hint="eastAsia" w:ascii="仿宋_GB2312" w:hAnsi="仿宋_GB2312" w:eastAsia="仿宋_GB2312" w:cs="仿宋_GB2312"/>
          <w:sz w:val="32"/>
          <w:szCs w:val="32"/>
          <w:lang w:val="en-US" w:eastAsia="zh-CN"/>
        </w:rPr>
        <w:t>第一部分 采购邀请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_Toc30958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pacing w:val="-2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_Toc13374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一、采购品种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_Toc24324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二、采购主体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_Toc30389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三、采购周期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_Toc15739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四、采购平台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_Toc218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五、意向需求量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_Toc7572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六、最高有效申报价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_Toc18704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七、协议签订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_Toc24340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八、信息公告及采购文件获取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_Toc15189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九、联系方式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_Toc15189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4"/>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_Toc21655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z w:val="32"/>
          <w:szCs w:val="32"/>
          <w:lang w:val="en-US" w:eastAsia="zh-CN"/>
        </w:rPr>
        <w:t>第二部分  申报企业须知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_Toc21655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_Toc9195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一、申报企业资格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_Toc9195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_Toc13588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二、申报方式及材料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_Toc21214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三、企业报价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_Toc21214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4"/>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_Toc22947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z w:val="32"/>
          <w:szCs w:val="32"/>
          <w:lang w:val="en-US" w:eastAsia="zh-CN"/>
        </w:rPr>
        <w:t>第三部分 竞价和磋商撮合规则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_Toc26907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一、成立磋商撮合专家组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_Toc26907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_Toc17104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二、拟中选企业确定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4"/>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_Toc776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pacing w:val="-20"/>
          <w:sz w:val="32"/>
          <w:szCs w:val="32"/>
          <w:lang w:val="en-US" w:eastAsia="zh-CN"/>
        </w:rPr>
        <w:t>第四部分 中选结果公布及非中选产品价格联动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_Toc26955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一、拟中选结果公示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_Toc26955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_Toc21743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二、中选结果公布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_Toc21743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_Toc15655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val="en-US" w:eastAsia="zh-CN"/>
        </w:rPr>
        <w:t>三、非中选产品价格联动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4"/>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_Toc12228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z w:val="32"/>
          <w:szCs w:val="32"/>
          <w:lang w:val="en-US" w:eastAsia="zh-CN"/>
        </w:rPr>
        <w:t>第五部分  其他有关问题处理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_Toc12228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4"/>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_Toc4108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z w:val="32"/>
          <w:szCs w:val="32"/>
          <w:lang w:val="en-US" w:eastAsia="zh-CN"/>
        </w:rPr>
        <w:t>第六部分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_Toc22792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val="0"/>
          <w:kern w:val="2"/>
          <w:sz w:val="32"/>
          <w:szCs w:val="32"/>
          <w:lang w:val="en-US" w:eastAsia="zh-CN" w:bidi="ar-SA"/>
        </w:rPr>
        <w:fldChar w:fldCharType="end"/>
      </w:r>
      <w:r>
        <w:rPr>
          <w:rFonts w:hint="eastAsia" w:ascii="仿宋_GB2312" w:hAnsi="仿宋_GB2312" w:eastAsia="仿宋_GB2312" w:cs="仿宋_GB2312"/>
          <w:bCs w:val="0"/>
          <w:kern w:val="2"/>
          <w:sz w:val="32"/>
          <w:szCs w:val="32"/>
          <w:lang w:val="en-US" w:eastAsia="zh-CN" w:bidi="ar-SA"/>
        </w:rPr>
        <w:t xml:space="preserve"> </w:t>
      </w: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_Toc18953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rPr>
        <w:t>法定代表人授权书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17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732"/>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_Toc14040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rPr>
        <w:t xml:space="preserve">附件 </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2</w:t>
      </w:r>
      <w:r>
        <w:rPr>
          <w:rFonts w:hint="eastAsia" w:ascii="仿宋_GB2312" w:hAnsi="仿宋_GB2312" w:eastAsia="仿宋_GB2312" w:cs="仿宋_GB2312"/>
          <w:bCs w:val="0"/>
          <w:kern w:val="2"/>
          <w:sz w:val="32"/>
          <w:szCs w:val="32"/>
          <w:lang w:val="en-US" w:eastAsia="zh-CN" w:bidi="ar-SA"/>
        </w:rPr>
        <w:fldChar w:fldCharType="end"/>
      </w:r>
      <w:r>
        <w:rPr>
          <w:rFonts w:hint="eastAsia" w:ascii="仿宋_GB2312" w:hAnsi="仿宋_GB2312" w:eastAsia="仿宋_GB2312" w:cs="仿宋_GB2312"/>
          <w:bCs w:val="0"/>
          <w:kern w:val="2"/>
          <w:sz w:val="32"/>
          <w:szCs w:val="32"/>
          <w:lang w:val="en-US" w:eastAsia="zh-CN" w:bidi="ar-SA"/>
        </w:rPr>
        <w:t xml:space="preserve"> </w:t>
      </w: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_Toc1513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lang w:eastAsia="zh-CN"/>
        </w:rPr>
        <w:t>甘肃省甲状腺功能检测</w:t>
      </w:r>
      <w:r>
        <w:rPr>
          <w:rFonts w:hint="eastAsia" w:ascii="仿宋_GB2312" w:hAnsi="仿宋_GB2312" w:eastAsia="仿宋_GB2312" w:cs="仿宋_GB2312"/>
          <w:bCs/>
          <w:sz w:val="32"/>
          <w:szCs w:val="32"/>
        </w:rPr>
        <w:t>试剂</w:t>
      </w:r>
      <w:r>
        <w:rPr>
          <w:rFonts w:hint="eastAsia" w:ascii="仿宋_GB2312" w:hAnsi="仿宋_GB2312" w:eastAsia="仿宋_GB2312" w:cs="仿宋_GB2312"/>
          <w:bCs w:val="0"/>
          <w:kern w:val="2"/>
          <w:sz w:val="32"/>
          <w:szCs w:val="32"/>
          <w:lang w:val="en-US" w:eastAsia="zh-CN" w:bidi="ar-SA"/>
        </w:rPr>
        <w:fldChar w:fldCharType="end"/>
      </w:r>
      <w:r>
        <w:rPr>
          <w:rFonts w:hint="eastAsia" w:ascii="仿宋_GB2312" w:hAnsi="仿宋_GB2312" w:eastAsia="仿宋_GB2312" w:cs="仿宋_GB2312"/>
          <w:bCs w:val="0"/>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_Toc6507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bCs/>
          <w:sz w:val="32"/>
          <w:szCs w:val="32"/>
        </w:rPr>
        <w:t>集中带量采购申报函</w:t>
      </w:r>
      <w:r>
        <w:rPr>
          <w:rFonts w:hint="eastAsia" w:ascii="仿宋_GB2312" w:hAnsi="仿宋_GB2312" w:eastAsia="仿宋_GB2312" w:cs="仿宋_GB2312"/>
          <w:bCs/>
          <w:sz w:val="32"/>
          <w:szCs w:val="32"/>
          <w:lang w:eastAsia="zh-CN"/>
        </w:rPr>
        <w:t>及信用承诺书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kern w:val="2"/>
          <w:sz w:val="32"/>
          <w:szCs w:val="32"/>
          <w:lang w:val="en-US" w:eastAsia="zh-CN" w:bidi="ar-SA"/>
        </w:rPr>
        <w:fldChar w:fldCharType="end"/>
      </w:r>
    </w:p>
    <w:p>
      <w:pPr>
        <w:pStyle w:val="17"/>
        <w:tabs>
          <w:tab w:val="right" w:leader="dot" w:pos="8470"/>
        </w:tabs>
        <w:spacing w:beforeLines="-2147483648" w:afterLines="-2147483648" w:line="460" w:lineRule="exac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fldChar w:fldCharType="end"/>
      </w:r>
    </w:p>
    <w:p>
      <w:pPr>
        <w:pStyle w:val="3"/>
        <w:keepNext/>
        <w:keepLines/>
        <w:spacing w:before="340" w:beforeLines="0" w:after="240" w:afterLines="0" w:line="700" w:lineRule="exact"/>
        <w:ind w:firstLine="0" w:firstLineChars="0"/>
        <w:jc w:val="center"/>
        <w:outlineLvl w:val="0"/>
        <w:rPr>
          <w:rFonts w:hint="eastAsia"/>
          <w:color w:val="000000" w:themeColor="text1"/>
          <w:lang w:val="en-US" w:eastAsia="zh-CN"/>
          <w14:textFill>
            <w14:solidFill>
              <w14:schemeClr w14:val="tx1"/>
            </w14:solidFill>
          </w14:textFill>
        </w:rPr>
        <w:sectPr>
          <w:footerReference r:id="rId4" w:type="default"/>
          <w:pgSz w:w="11906" w:h="16838"/>
          <w:pgMar w:top="1928" w:right="1587" w:bottom="1474" w:left="1587" w:header="851" w:footer="992" w:gutter="0"/>
          <w:pgNumType w:fmt="numberInDash" w:start="1"/>
          <w:cols w:space="0" w:num="1"/>
          <w:rtlGutter w:val="0"/>
          <w:docGrid w:type="lines" w:linePitch="312" w:charSpace="0"/>
        </w:sectPr>
      </w:pPr>
      <w:bookmarkStart w:id="0" w:name="_Toc5671"/>
      <w:bookmarkStart w:id="1" w:name="_Toc9728"/>
      <w:bookmarkStart w:id="2" w:name="_Toc32712"/>
      <w:bookmarkStart w:id="3" w:name="_Toc12929"/>
      <w:bookmarkStart w:id="4" w:name="_Toc28231"/>
      <w:bookmarkStart w:id="5" w:name="_Toc27566"/>
      <w:bookmarkStart w:id="6" w:name="_Toc3442"/>
      <w:bookmarkStart w:id="7" w:name="_Toc19368"/>
      <w:bookmarkStart w:id="8" w:name="_Toc9144"/>
      <w:bookmarkStart w:id="9" w:name="_Toc12781"/>
      <w:bookmarkStart w:id="10" w:name="_Toc6670"/>
      <w:bookmarkStart w:id="11" w:name="_Toc29624"/>
      <w:bookmarkStart w:id="12" w:name="_Toc14631"/>
    </w:p>
    <w:p>
      <w:pPr>
        <w:pStyle w:val="3"/>
        <w:keepNext/>
        <w:keepLines/>
        <w:spacing w:before="340" w:beforeLines="0" w:after="240" w:afterLines="0" w:line="700" w:lineRule="exact"/>
        <w:ind w:firstLine="0" w:firstLineChars="0"/>
        <w:jc w:val="center"/>
        <w:outlineLvl w:val="0"/>
        <w:rPr>
          <w:rFonts w:hint="eastAsia" w:ascii="方正公文小标宋" w:hAnsi="方正公文小标宋" w:eastAsia="方正公文小标宋" w:cs="方正公文小标宋"/>
          <w:b w:val="0"/>
          <w:bCs/>
          <w:color w:val="000000" w:themeColor="text1"/>
          <w:sz w:val="32"/>
          <w:szCs w:val="32"/>
          <w:lang w:eastAsia="zh-CN"/>
          <w14:textFill>
            <w14:solidFill>
              <w14:schemeClr w14:val="tx1"/>
            </w14:solidFill>
          </w14:textFill>
        </w:rPr>
      </w:pPr>
      <w:bookmarkStart w:id="13" w:name="_Toc30958"/>
      <w:r>
        <w:rPr>
          <w:rFonts w:hint="eastAsia" w:ascii="方正公文小标宋" w:hAnsi="方正公文小标宋" w:eastAsia="方正公文小标宋" w:cs="方正公文小标宋"/>
          <w:b w:val="0"/>
          <w:bCs/>
          <w:color w:val="000000" w:themeColor="text1"/>
          <w:lang w:val="en-US" w:eastAsia="zh-CN"/>
          <w14:textFill>
            <w14:solidFill>
              <w14:schemeClr w14:val="tx1"/>
            </w14:solidFill>
          </w14:textFill>
        </w:rPr>
        <w:t>第一部分 采购邀请</w:t>
      </w:r>
      <w:bookmarkEnd w:id="0"/>
      <w:bookmarkEnd w:id="1"/>
      <w:bookmarkEnd w:id="2"/>
      <w:bookmarkEnd w:id="3"/>
      <w:bookmarkEnd w:id="4"/>
      <w:bookmarkEnd w:id="5"/>
      <w:bookmarkEnd w:id="6"/>
      <w:bookmarkEnd w:id="7"/>
      <w:bookmarkEnd w:id="8"/>
      <w:bookmarkEnd w:id="9"/>
      <w:bookmarkEnd w:id="10"/>
      <w:bookmarkEnd w:id="11"/>
      <w:bookmarkEnd w:id="12"/>
      <w:bookmarkEnd w:id="13"/>
    </w:p>
    <w:p>
      <w:pPr>
        <w:pStyle w:val="4"/>
        <w:keepNext/>
        <w:keepLines/>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640" w:firstLineChars="200"/>
        <w:jc w:val="both"/>
        <w:textAlignment w:val="auto"/>
        <w:outlineLvl w:val="1"/>
        <w:rPr>
          <w:rFonts w:hint="eastAsia"/>
          <w:b w:val="0"/>
          <w:bCs/>
          <w:color w:val="000000" w:themeColor="text1"/>
          <w:lang w:val="en-US" w:eastAsia="zh-CN"/>
          <w14:textFill>
            <w14:solidFill>
              <w14:schemeClr w14:val="tx1"/>
            </w14:solidFill>
          </w14:textFill>
        </w:rPr>
      </w:pPr>
      <w:bookmarkStart w:id="14" w:name="_Toc24994"/>
      <w:bookmarkStart w:id="15" w:name="_Toc6790"/>
      <w:bookmarkStart w:id="16" w:name="_Toc19660"/>
      <w:bookmarkStart w:id="17" w:name="_Toc14334"/>
      <w:bookmarkStart w:id="18" w:name="_Toc15649"/>
      <w:bookmarkStart w:id="19" w:name="_Toc2531"/>
      <w:bookmarkStart w:id="20" w:name="_Toc13374"/>
      <w:bookmarkStart w:id="21" w:name="_Toc24742"/>
      <w:bookmarkStart w:id="22" w:name="_Toc15336"/>
      <w:bookmarkStart w:id="23" w:name="_Toc17132"/>
      <w:bookmarkStart w:id="24" w:name="_Toc2416"/>
      <w:bookmarkStart w:id="25" w:name="_Toc18495"/>
      <w:bookmarkStart w:id="26" w:name="_Toc13799"/>
      <w:bookmarkStart w:id="27" w:name="_Toc19675"/>
      <w:r>
        <w:rPr>
          <w:rFonts w:hint="eastAsia"/>
          <w:b w:val="0"/>
          <w:bCs/>
          <w:color w:val="000000" w:themeColor="text1"/>
          <w:lang w:val="en-US" w:eastAsia="zh-CN"/>
          <w14:textFill>
            <w14:solidFill>
              <w14:schemeClr w14:val="tx1"/>
            </w14:solidFill>
          </w14:textFill>
        </w:rPr>
        <w:t>一、采购品种</w:t>
      </w:r>
      <w:bookmarkEnd w:id="14"/>
      <w:bookmarkEnd w:id="15"/>
      <w:bookmarkEnd w:id="16"/>
      <w:bookmarkEnd w:id="17"/>
      <w:bookmarkEnd w:id="18"/>
      <w:bookmarkEnd w:id="19"/>
      <w:bookmarkEnd w:id="20"/>
      <w:bookmarkEnd w:id="21"/>
      <w:bookmarkEnd w:id="22"/>
      <w:bookmarkEnd w:id="23"/>
      <w:bookmarkEnd w:id="24"/>
      <w:bookmarkEnd w:id="25"/>
      <w:bookmarkEnd w:id="26"/>
      <w:bookmarkEnd w:id="27"/>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本次集中带量采购品种，是指按医疗器械管理的用于对人体样本进行体外检测的甲状腺功能检测试剂（化学发光法），按检测项目的注册证名称包括品种有：</w:t>
      </w:r>
    </w:p>
    <w:tbl>
      <w:tblPr>
        <w:tblStyle w:val="20"/>
        <w:tblW w:w="4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3033"/>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5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kern w:val="0"/>
                <w:sz w:val="28"/>
                <w:szCs w:val="28"/>
                <w:lang w:eastAsia="zh-CN" w:bidi="ar"/>
              </w:rPr>
              <w:t>序号</w:t>
            </w:r>
          </w:p>
        </w:tc>
        <w:tc>
          <w:tcPr>
            <w:tcW w:w="17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kern w:val="0"/>
                <w:sz w:val="28"/>
                <w:szCs w:val="28"/>
                <w:lang w:eastAsia="zh-CN" w:bidi="ar"/>
              </w:rPr>
              <w:t>品种</w:t>
            </w:r>
          </w:p>
        </w:tc>
        <w:tc>
          <w:tcPr>
            <w:tcW w:w="27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b/>
                <w:bCs/>
                <w:color w:val="auto"/>
                <w:kern w:val="0"/>
                <w:sz w:val="28"/>
                <w:szCs w:val="28"/>
                <w:lang w:eastAsia="zh-CN" w:bidi="ar"/>
              </w:rPr>
            </w:pPr>
            <w:r>
              <w:rPr>
                <w:rFonts w:hint="eastAsia" w:ascii="仿宋_GB2312" w:hAnsi="仿宋_GB2312" w:eastAsia="仿宋_GB2312" w:cs="仿宋_GB2312"/>
                <w:b/>
                <w:bCs/>
                <w:color w:val="auto"/>
                <w:kern w:val="0"/>
                <w:sz w:val="28"/>
                <w:szCs w:val="28"/>
                <w:lang w:eastAsia="zh-CN" w:bidi="ar"/>
              </w:rPr>
              <w:t>医保编码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1</w:t>
            </w:r>
          </w:p>
        </w:tc>
        <w:tc>
          <w:tcPr>
            <w:tcW w:w="17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游离三碘甲状腺原氨酸(FT3)</w:t>
            </w:r>
          </w:p>
        </w:tc>
        <w:tc>
          <w:tcPr>
            <w:tcW w:w="27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包括但不限于</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CJ1010125048、CJ1010225048、CJ1010325048、CJ1010425048、CJ1010525048、CJ1010625048、CJ1010725048、CJ1010825048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2</w:t>
            </w:r>
          </w:p>
        </w:tc>
        <w:tc>
          <w:tcPr>
            <w:tcW w:w="17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游离甲状腺素(FT4)</w:t>
            </w:r>
          </w:p>
        </w:tc>
        <w:tc>
          <w:tcPr>
            <w:tcW w:w="27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包括但不限于</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CJ1010125042、CJ1010225042、CJ1010325042、CJ1010425042、CJ1010525042、CJ1010625042、CJ1010725042、CJ1010825042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3</w:t>
            </w:r>
          </w:p>
        </w:tc>
        <w:tc>
          <w:tcPr>
            <w:tcW w:w="17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总三碘甲状腺原氨酸(T3)</w:t>
            </w:r>
          </w:p>
        </w:tc>
        <w:tc>
          <w:tcPr>
            <w:tcW w:w="27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包括但不限于</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CJ1010125049、CJ1010325049、CJ1010425049、CJ1010525049、CJ1010625049、CJ1010725049、CJ1010825049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4</w:t>
            </w:r>
          </w:p>
        </w:tc>
        <w:tc>
          <w:tcPr>
            <w:tcW w:w="17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总甲状腺素(T4)</w:t>
            </w:r>
          </w:p>
        </w:tc>
        <w:tc>
          <w:tcPr>
            <w:tcW w:w="27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包括但不限于</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CJ1010125043、CJ1010325043、CJ1010425043、CJ1010525043、CJ1010625043、CJ1010725043、CJ1010825043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5</w:t>
            </w:r>
          </w:p>
        </w:tc>
        <w:tc>
          <w:tcPr>
            <w:tcW w:w="17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促甲状腺激素(TSH)</w:t>
            </w:r>
          </w:p>
        </w:tc>
        <w:tc>
          <w:tcPr>
            <w:tcW w:w="27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包括但不限于</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CJ1010125009、CJ1010225009、CJ1010325009、CJ1010425009、CJ1010525009、CJ1010625009、CJ1010725009、CJ1010825009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5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6</w:t>
            </w:r>
          </w:p>
        </w:tc>
        <w:tc>
          <w:tcPr>
            <w:tcW w:w="17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甲状腺球蛋白抗体(Anti-Tg)</w:t>
            </w:r>
          </w:p>
        </w:tc>
        <w:tc>
          <w:tcPr>
            <w:tcW w:w="27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包括但不限于</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CJ1010120072、CJ1010220072、CJ1010320072、CJ1010420072、CJ1010520072、CJ1010620072、CJ1010820072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7</w:t>
            </w:r>
          </w:p>
        </w:tc>
        <w:tc>
          <w:tcPr>
            <w:tcW w:w="17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抗甲状腺过氧化物酶抗体(Anti-TPO)</w:t>
            </w:r>
          </w:p>
        </w:tc>
        <w:tc>
          <w:tcPr>
            <w:tcW w:w="27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包括但不限于</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CJ1010120071、CJ1010220071、CJ1010320071、CJ1010420071、CJ1010520071、CJ1010620071、CJ1010820071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8</w:t>
            </w:r>
          </w:p>
        </w:tc>
        <w:tc>
          <w:tcPr>
            <w:tcW w:w="17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甲状腺球蛋白（Tg）</w:t>
            </w:r>
          </w:p>
        </w:tc>
        <w:tc>
          <w:tcPr>
            <w:tcW w:w="27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包括但不限于</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CJ1010123409、CJ1010223409、CJ1010323409、CJ1010423409、CJ1010523409、CJ1010623409、CJ1010823409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9</w:t>
            </w:r>
          </w:p>
        </w:tc>
        <w:tc>
          <w:tcPr>
            <w:tcW w:w="17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促甲状腺激素受体抗体（TRAb）</w:t>
            </w:r>
          </w:p>
        </w:tc>
        <w:tc>
          <w:tcPr>
            <w:tcW w:w="27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包括但不限于</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CJ1010120044、CJ1010220044、CJ1010420044、CJ1010520044</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t>同一注册证中</w:t>
      </w:r>
      <w:r>
        <w:rPr>
          <w:rFonts w:hint="eastAsia" w:ascii="仿宋_GB2312" w:hAnsi="微软雅黑" w:eastAsia="仿宋_GB2312"/>
          <w:color w:val="000000" w:themeColor="text1"/>
          <w:sz w:val="32"/>
          <w:szCs w:val="32"/>
          <w14:textFill>
            <w14:solidFill>
              <w14:schemeClr w14:val="tx1"/>
            </w14:solidFill>
          </w14:textFill>
        </w:rPr>
        <w:t>品种大于或等于2种的联合诊断试剂不在本次采购品种范围之内。</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b w:val="0"/>
          <w:bCs/>
          <w:color w:val="000000" w:themeColor="text1"/>
          <w:lang w:val="en-US" w:eastAsia="zh-CN"/>
          <w14:textFill>
            <w14:solidFill>
              <w14:schemeClr w14:val="tx1"/>
            </w14:solidFill>
          </w14:textFill>
        </w:rPr>
      </w:pPr>
      <w:bookmarkStart w:id="28" w:name="_Toc8439"/>
      <w:bookmarkStart w:id="29" w:name="_Toc14238"/>
      <w:bookmarkStart w:id="30" w:name="_Toc4994"/>
      <w:bookmarkStart w:id="31" w:name="_Toc17133"/>
      <w:bookmarkStart w:id="32" w:name="_Toc29898"/>
      <w:bookmarkStart w:id="33" w:name="_Toc29595"/>
      <w:bookmarkStart w:id="34" w:name="_Toc11943"/>
      <w:bookmarkStart w:id="35" w:name="_Toc2663"/>
      <w:bookmarkStart w:id="36" w:name="_Toc7672"/>
      <w:bookmarkStart w:id="37" w:name="_Toc23502"/>
      <w:bookmarkStart w:id="38" w:name="_Toc8120"/>
      <w:bookmarkStart w:id="39" w:name="_Toc1261"/>
      <w:bookmarkStart w:id="40" w:name="_Toc24324"/>
      <w:bookmarkStart w:id="41" w:name="_Toc28338"/>
      <w:r>
        <w:rPr>
          <w:rFonts w:hint="eastAsia"/>
          <w:b w:val="0"/>
          <w:bCs/>
          <w:color w:val="000000" w:themeColor="text1"/>
          <w:lang w:val="en-US" w:eastAsia="zh-CN"/>
          <w14:textFill>
            <w14:solidFill>
              <w14:schemeClr w14:val="tx1"/>
            </w14:solidFill>
          </w14:textFill>
        </w:rPr>
        <w:t>二、采购主体</w:t>
      </w:r>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全省所有公立医疗机构（含基层医疗机构卫生单位和军队</w:t>
      </w:r>
      <w:r>
        <w:rPr>
          <w:rFonts w:hint="eastAsia" w:ascii="仿宋_GB2312" w:hAnsi="仿宋_GB2312" w:eastAsia="仿宋_GB2312" w:cs="仿宋_GB2312"/>
          <w:color w:val="000000" w:themeColor="text1"/>
          <w:sz w:val="32"/>
          <w:szCs w:val="32"/>
          <w14:textFill>
            <w14:solidFill>
              <w14:schemeClr w14:val="tx1"/>
            </w14:solidFill>
          </w14:textFill>
        </w:rPr>
        <w:t>医疗机构）。医保定点社会办医疗机构自愿参加。</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b w:val="0"/>
          <w:bCs/>
          <w:color w:val="000000" w:themeColor="text1"/>
          <w:lang w:val="en-US" w:eastAsia="zh-CN"/>
          <w14:textFill>
            <w14:solidFill>
              <w14:schemeClr w14:val="tx1"/>
            </w14:solidFill>
          </w14:textFill>
        </w:rPr>
      </w:pPr>
      <w:bookmarkStart w:id="42" w:name="_Toc9701"/>
      <w:bookmarkStart w:id="43" w:name="_Toc2795"/>
      <w:bookmarkStart w:id="44" w:name="_Toc32102"/>
      <w:bookmarkStart w:id="45" w:name="_Toc28769"/>
      <w:bookmarkStart w:id="46" w:name="_Toc26120"/>
      <w:bookmarkStart w:id="47" w:name="_Toc12237"/>
      <w:bookmarkStart w:id="48" w:name="_Toc30104"/>
      <w:bookmarkStart w:id="49" w:name="_Toc4831"/>
      <w:bookmarkStart w:id="50" w:name="_Toc30389"/>
      <w:bookmarkStart w:id="51" w:name="_Toc24165"/>
      <w:bookmarkStart w:id="52" w:name="_Toc22474"/>
      <w:bookmarkStart w:id="53" w:name="_Toc6327"/>
      <w:bookmarkStart w:id="54" w:name="_Toc27488"/>
      <w:r>
        <w:rPr>
          <w:rFonts w:hint="eastAsia"/>
          <w:b w:val="0"/>
          <w:bCs/>
          <w:color w:val="000000" w:themeColor="text1"/>
          <w:lang w:val="en-US" w:eastAsia="zh-CN"/>
          <w14:textFill>
            <w14:solidFill>
              <w14:schemeClr w14:val="tx1"/>
            </w14:solidFill>
          </w14:textFill>
        </w:rPr>
        <w:t>三、采购周期</w:t>
      </w:r>
      <w:bookmarkEnd w:id="42"/>
      <w:bookmarkEnd w:id="43"/>
      <w:bookmarkEnd w:id="44"/>
      <w:bookmarkEnd w:id="45"/>
      <w:bookmarkEnd w:id="46"/>
      <w:bookmarkEnd w:id="47"/>
      <w:bookmarkEnd w:id="48"/>
      <w:bookmarkEnd w:id="49"/>
      <w:bookmarkEnd w:id="50"/>
      <w:bookmarkEnd w:id="51"/>
      <w:bookmarkEnd w:id="52"/>
      <w:bookmarkEnd w:id="53"/>
      <w:bookmarkEnd w:id="54"/>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本次甲状腺功能检测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试剂</w:t>
      </w:r>
      <w:r>
        <w:rPr>
          <w:rFonts w:hint="eastAsia" w:ascii="仿宋_GB2312" w:hAnsi="仿宋_GB2312" w:eastAsia="仿宋_GB2312" w:cs="仿宋_GB2312"/>
          <w:color w:val="000000" w:themeColor="text1"/>
          <w:sz w:val="32"/>
          <w:szCs w:val="32"/>
          <w14:textFill>
            <w14:solidFill>
              <w14:schemeClr w14:val="tx1"/>
            </w14:solidFill>
          </w14:textFill>
        </w:rPr>
        <w:t>集中带量采购周期原则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为2年，自中选结果实际执行日起计算</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，采购周期届满后可根据实际情况适当延长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采购周期</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采购周期内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允许同企业同检测项目内的中选产品约定采购量，在同企业不同注册证及不同包装规格之间调整。企业中选品种新批准增加的注册证或中选注册证新增包装规格，按照不高于原中选价格供应的，可增补为中选产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采购周期</w:t>
      </w:r>
      <w:r>
        <w:rPr>
          <w:rFonts w:hint="eastAsia" w:ascii="仿宋_GB2312" w:hAnsi="仿宋_GB2312" w:eastAsia="仿宋_GB2312" w:cs="仿宋_GB2312"/>
          <w:color w:val="000000" w:themeColor="text1"/>
          <w:sz w:val="32"/>
          <w:szCs w:val="32"/>
          <w14:textFill>
            <w14:solidFill>
              <w14:schemeClr w14:val="tx1"/>
            </w14:solidFill>
          </w14:textFill>
        </w:rPr>
        <w:t>内如遇国家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体外诊断</w:t>
      </w:r>
      <w:r>
        <w:rPr>
          <w:rFonts w:hint="eastAsia" w:ascii="仿宋_GB2312" w:hAnsi="仿宋_GB2312" w:eastAsia="仿宋_GB2312" w:cs="仿宋_GB2312"/>
          <w:color w:val="000000" w:themeColor="text1"/>
          <w:sz w:val="32"/>
          <w:szCs w:val="32"/>
          <w14:textFill>
            <w14:solidFill>
              <w14:schemeClr w14:val="tx1"/>
            </w14:solidFill>
          </w14:textFill>
        </w:rPr>
        <w:t>试剂集中采购等</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政策调整，按照最新政策有关规定执行。</w:t>
      </w:r>
    </w:p>
    <w:p>
      <w:pPr>
        <w:pStyle w:val="4"/>
        <w:keepNext/>
        <w:keepLines/>
        <w:spacing w:before="0" w:after="0" w:line="560" w:lineRule="exact"/>
        <w:ind w:firstLine="640" w:firstLineChars="200"/>
        <w:rPr>
          <w:rFonts w:hint="eastAsia"/>
          <w:lang w:val="en-US" w:eastAsia="zh-CN"/>
        </w:rPr>
      </w:pPr>
      <w:bookmarkStart w:id="55" w:name="_Toc15739"/>
      <w:bookmarkStart w:id="56" w:name="_Toc20656"/>
      <w:bookmarkStart w:id="57" w:name="_Toc2868"/>
      <w:bookmarkStart w:id="58" w:name="_Toc29183"/>
      <w:bookmarkStart w:id="59" w:name="_Toc16722"/>
      <w:bookmarkStart w:id="60" w:name="_Toc17482"/>
      <w:r>
        <w:rPr>
          <w:rFonts w:hint="eastAsia"/>
          <w:b w:val="0"/>
          <w:bCs/>
          <w:lang w:val="en-US" w:eastAsia="zh-CN"/>
        </w:rPr>
        <w:t>四、采购平台</w:t>
      </w:r>
      <w:bookmarkEnd w:id="55"/>
      <w:bookmarkEnd w:id="56"/>
      <w:bookmarkEnd w:id="57"/>
      <w:bookmarkEnd w:id="58"/>
      <w:bookmarkEnd w:id="59"/>
      <w:bookmarkEnd w:id="60"/>
    </w:p>
    <w:p>
      <w:pPr>
        <w:keepNext w:val="0"/>
        <w:keepLines w:val="0"/>
        <w:wordWrap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本次甲状腺功能检测试剂集中带量采购</w:t>
      </w:r>
      <w:r>
        <w:rPr>
          <w:rFonts w:hint="eastAsia" w:ascii="仿宋_GB2312" w:hAnsi="仿宋_GB2312" w:eastAsia="仿宋_GB2312" w:cs="仿宋_GB2312"/>
          <w:sz w:val="32"/>
          <w:szCs w:val="32"/>
          <w:lang w:eastAsia="zh-CN" w:bidi="ar"/>
        </w:rPr>
        <w:t>在甘肃省药品和医用耗材招采管理子系统（以下简称“招采子系统”）进行申报，</w:t>
      </w:r>
      <w:r>
        <w:rPr>
          <w:rFonts w:hint="eastAsia" w:ascii="仿宋_GB2312" w:hAnsi="仿宋_GB2312" w:eastAsia="仿宋_GB2312" w:cs="仿宋_GB2312"/>
          <w:sz w:val="32"/>
          <w:szCs w:val="32"/>
          <w:lang w:bidi="ar"/>
        </w:rPr>
        <w:t>不接受其他方式。</w:t>
      </w:r>
    </w:p>
    <w:p>
      <w:pPr>
        <w:keepNext w:val="0"/>
        <w:keepLines w:val="0"/>
        <w:wordWrap w:val="0"/>
        <w:spacing w:line="560" w:lineRule="exact"/>
        <w:ind w:firstLine="640" w:firstLineChars="200"/>
        <w:rPr>
          <w:rFonts w:hint="default" w:ascii="仿宋_GB2312" w:hAnsi="仿宋_GB2312" w:eastAsia="仿宋_GB2312" w:cs="仿宋_GB2312"/>
          <w:b w:val="0"/>
          <w:bCs/>
          <w:lang w:val="en-US" w:eastAsia="zh-CN"/>
        </w:rPr>
      </w:pPr>
      <w:r>
        <w:rPr>
          <w:rFonts w:hint="eastAsia" w:ascii="仿宋_GB2312" w:hAnsi="仿宋_GB2312" w:eastAsia="仿宋_GB2312" w:cs="仿宋_GB2312"/>
          <w:sz w:val="32"/>
          <w:szCs w:val="32"/>
          <w:lang w:bidi="ar"/>
        </w:rPr>
        <w:t>企业通过甘肃医保公共服务网（https://ybdzpz.ylbz.gansu.gov.cn/hsa-local-prod/web/hallEnter/#/Index）登录招采子系统进行资料提交、产品报价解密</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开标等相关操作。企业</w:t>
      </w:r>
      <w:r>
        <w:rPr>
          <w:rFonts w:hint="eastAsia" w:ascii="仿宋_GB2312" w:hAnsi="仿宋_GB2312" w:eastAsia="仿宋_GB2312" w:cs="仿宋_GB2312"/>
          <w:sz w:val="32"/>
          <w:szCs w:val="32"/>
          <w:lang w:eastAsia="zh-CN" w:bidi="ar"/>
        </w:rPr>
        <w:t>需</w:t>
      </w:r>
      <w:r>
        <w:rPr>
          <w:rFonts w:hint="eastAsia" w:ascii="仿宋_GB2312" w:hAnsi="仿宋_GB2312" w:eastAsia="仿宋_GB2312" w:cs="仿宋_GB2312"/>
          <w:sz w:val="32"/>
          <w:szCs w:val="32"/>
          <w:lang w:bidi="ar"/>
        </w:rPr>
        <w:t>合理安排时间，逾期未维护，自行承担后果。</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b w:val="0"/>
          <w:bCs/>
          <w:color w:val="000000" w:themeColor="text1"/>
          <w:lang w:val="en-US" w:eastAsia="zh-CN"/>
          <w14:textFill>
            <w14:solidFill>
              <w14:schemeClr w14:val="tx1"/>
            </w14:solidFill>
          </w14:textFill>
        </w:rPr>
      </w:pPr>
      <w:bookmarkStart w:id="61" w:name="_Toc12932"/>
      <w:bookmarkStart w:id="62" w:name="_Toc16581"/>
      <w:bookmarkStart w:id="63" w:name="_Toc32549"/>
      <w:bookmarkStart w:id="64" w:name="_Toc856"/>
      <w:bookmarkStart w:id="65" w:name="_Toc6287"/>
      <w:bookmarkStart w:id="66" w:name="_Toc31825"/>
      <w:bookmarkStart w:id="67" w:name="_Toc5079"/>
      <w:bookmarkStart w:id="68" w:name="_Toc13304"/>
      <w:bookmarkStart w:id="69" w:name="_Toc13243"/>
      <w:bookmarkStart w:id="70" w:name="_Toc28136"/>
      <w:bookmarkStart w:id="71" w:name="_Toc218"/>
      <w:bookmarkStart w:id="72" w:name="_Toc5934"/>
      <w:bookmarkStart w:id="73" w:name="_Toc24158"/>
      <w:r>
        <w:rPr>
          <w:rFonts w:hint="eastAsia"/>
          <w:b w:val="0"/>
          <w:bCs/>
          <w:color w:val="000000" w:themeColor="text1"/>
          <w:lang w:val="en-US" w:eastAsia="zh-CN"/>
          <w14:textFill>
            <w14:solidFill>
              <w14:schemeClr w14:val="tx1"/>
            </w14:solidFill>
          </w14:textFill>
        </w:rPr>
        <w:t>五、意向需求量</w:t>
      </w:r>
      <w:bookmarkEnd w:id="61"/>
      <w:bookmarkEnd w:id="62"/>
      <w:bookmarkEnd w:id="63"/>
      <w:bookmarkEnd w:id="64"/>
      <w:bookmarkEnd w:id="65"/>
      <w:bookmarkEnd w:id="66"/>
      <w:bookmarkEnd w:id="67"/>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甘肃省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公共资源交易中心已通过招采</w:t>
      </w:r>
      <w:r>
        <w:rPr>
          <w:rFonts w:hint="eastAsia" w:ascii="仿宋_GB2312" w:hAnsi="仿宋_GB2312" w:eastAsia="仿宋_GB2312" w:cs="仿宋_GB2312"/>
          <w:color w:val="000000" w:themeColor="text1"/>
          <w:sz w:val="32"/>
          <w:szCs w:val="32"/>
          <w:lang w:eastAsia="zh-CN"/>
          <w14:textFill>
            <w14:solidFill>
              <w14:schemeClr w14:val="tx1"/>
            </w14:solidFill>
          </w14:textFill>
        </w:rPr>
        <w:t>子系统对2023年1月1日-2023年12月31日各</w:t>
      </w:r>
      <w:r>
        <w:rPr>
          <w:rFonts w:hint="eastAsia" w:ascii="仿宋_GB2312" w:hAnsi="仿宋_GB2312" w:eastAsia="仿宋_GB2312" w:cs="仿宋_GB2312"/>
          <w:sz w:val="32"/>
          <w:szCs w:val="32"/>
          <w:lang w:eastAsia="zh-CN" w:bidi="ar"/>
        </w:rPr>
        <w:t>医疗机构</w:t>
      </w:r>
      <w:r>
        <w:rPr>
          <w:rFonts w:hint="eastAsia" w:ascii="仿宋_GB2312" w:hAnsi="仿宋_GB2312" w:eastAsia="仿宋_GB2312" w:cs="仿宋_GB2312"/>
          <w:sz w:val="32"/>
          <w:szCs w:val="32"/>
          <w:lang w:bidi="ar"/>
        </w:rPr>
        <w:t>甲状腺功能检测试剂</w:t>
      </w:r>
      <w:r>
        <w:rPr>
          <w:rFonts w:hint="eastAsia" w:ascii="仿宋_GB2312" w:hAnsi="仿宋_GB2312" w:eastAsia="仿宋_GB2312" w:cs="仿宋_GB2312"/>
          <w:sz w:val="32"/>
          <w:szCs w:val="32"/>
          <w:lang w:eastAsia="zh-CN" w:bidi="ar"/>
        </w:rPr>
        <w:t>采购品种的历史</w:t>
      </w:r>
      <w:r>
        <w:rPr>
          <w:rFonts w:hint="eastAsia" w:ascii="仿宋_GB2312" w:hAnsi="仿宋_GB2312" w:eastAsia="仿宋_GB2312" w:cs="仿宋_GB2312"/>
          <w:color w:val="000000" w:themeColor="text1"/>
          <w:sz w:val="32"/>
          <w:szCs w:val="32"/>
          <w:lang w:eastAsia="zh-CN"/>
          <w14:textFill>
            <w14:solidFill>
              <w14:schemeClr w14:val="tx1"/>
            </w14:solidFill>
          </w14:textFill>
        </w:rPr>
        <w:t>配送量进行了统计。医疗机构根据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历史配送量（人份）</w:t>
      </w:r>
      <w:r>
        <w:rPr>
          <w:rFonts w:hint="eastAsia" w:ascii="仿宋_GB2312" w:hAnsi="仿宋_GB2312" w:eastAsia="仿宋_GB2312" w:cs="仿宋_GB2312"/>
          <w:color w:val="000000" w:themeColor="text1"/>
          <w:sz w:val="32"/>
          <w:szCs w:val="32"/>
          <w:lang w:eastAsia="zh-CN"/>
          <w14:textFill>
            <w14:solidFill>
              <w14:schemeClr w14:val="tx1"/>
            </w14:solidFill>
          </w14:textFill>
        </w:rPr>
        <w:t>确认未来一年的意向需求量（人份）。</w:t>
      </w:r>
      <w:r>
        <w:rPr>
          <w:rFonts w:hint="eastAsia" w:ascii="仿宋_GB2312" w:hAnsi="Times New Roman" w:eastAsia="仿宋_GB2312"/>
          <w:color w:val="000000" w:themeColor="text1"/>
          <w:sz w:val="32"/>
          <w:szCs w:val="32"/>
          <w:highlight w:val="none"/>
          <w:shd w:val="clear" w:color="auto" w:fill="FFFFFF"/>
          <w:lang w:val="en-US" w:eastAsia="zh-CN"/>
          <w14:textFill>
            <w14:solidFill>
              <w14:schemeClr w14:val="tx1"/>
            </w14:solidFill>
          </w14:textFill>
        </w:rPr>
        <w:t>（具体另行公告）</w:t>
      </w:r>
    </w:p>
    <w:p>
      <w:pPr>
        <w:keepNext w:val="0"/>
        <w:keepLines w:val="0"/>
        <w:numPr>
          <w:ilvl w:val="-1"/>
          <w:numId w:val="0"/>
        </w:numPr>
        <w:spacing w:line="560" w:lineRule="exact"/>
        <w:ind w:firstLine="640" w:firstLineChars="200"/>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计算人份数时，校准品和质控品等不纳入计算。注册证中附带的校准品或质控品应按需免费提供。</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color w:val="000000" w:themeColor="text1"/>
          <w:lang w:val="en-US" w:eastAsia="zh-CN"/>
          <w14:textFill>
            <w14:solidFill>
              <w14:schemeClr w14:val="tx1"/>
            </w14:solidFill>
          </w14:textFill>
        </w:rPr>
      </w:pPr>
      <w:bookmarkStart w:id="74" w:name="_Toc6759"/>
      <w:bookmarkStart w:id="75" w:name="_Toc412"/>
      <w:bookmarkStart w:id="76" w:name="_Toc1771"/>
      <w:bookmarkStart w:id="77" w:name="_Toc12564"/>
      <w:bookmarkStart w:id="78" w:name="_Toc26291"/>
      <w:bookmarkStart w:id="79" w:name="_Toc13265"/>
      <w:bookmarkStart w:id="80" w:name="_Toc317"/>
      <w:bookmarkStart w:id="81" w:name="_Toc23397"/>
      <w:bookmarkStart w:id="82" w:name="_Toc27172"/>
      <w:bookmarkStart w:id="83" w:name="_Toc2488"/>
      <w:bookmarkStart w:id="84" w:name="_Toc7572"/>
      <w:bookmarkStart w:id="85" w:name="_Toc14312"/>
      <w:bookmarkStart w:id="86" w:name="_Toc28073"/>
      <w:r>
        <w:rPr>
          <w:rFonts w:hint="eastAsia"/>
          <w:b w:val="0"/>
          <w:bCs/>
          <w:color w:val="000000" w:themeColor="text1"/>
          <w:lang w:val="en-US" w:eastAsia="zh-CN"/>
          <w14:textFill>
            <w14:solidFill>
              <w14:schemeClr w14:val="tx1"/>
            </w14:solidFill>
          </w14:textFill>
        </w:rPr>
        <w:t>六、最高有效申报价</w:t>
      </w:r>
      <w:bookmarkEnd w:id="74"/>
      <w:bookmarkEnd w:id="75"/>
      <w:bookmarkEnd w:id="76"/>
      <w:bookmarkEnd w:id="77"/>
      <w:bookmarkEnd w:id="78"/>
      <w:bookmarkEnd w:id="79"/>
      <w:bookmarkEnd w:id="80"/>
      <w:bookmarkEnd w:id="81"/>
      <w:bookmarkEnd w:id="82"/>
      <w:bookmarkEnd w:id="83"/>
      <w:bookmarkEnd w:id="84"/>
      <w:bookmarkEnd w:id="85"/>
      <w:bookmarkEnd w:id="8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cyan"/>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医疗保障局组织专家根据招采子系统各企业各采购品种在我省医疗机构实际最低有效交易价，以人份为单位核定各企业各采购品种的最高有效申报价。无我省医疗机构实际采购价的用同类产品最低有效交易价格作为各品种最高有效申报价（具体另行公告）。</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b w:val="0"/>
          <w:bCs/>
          <w:color w:val="000000" w:themeColor="text1"/>
          <w:lang w:val="en-US" w:eastAsia="zh-CN"/>
          <w14:textFill>
            <w14:solidFill>
              <w14:schemeClr w14:val="tx1"/>
            </w14:solidFill>
          </w14:textFill>
        </w:rPr>
      </w:pPr>
      <w:bookmarkStart w:id="87" w:name="_Toc29748"/>
      <w:bookmarkStart w:id="88" w:name="_Toc12665"/>
      <w:bookmarkStart w:id="89" w:name="_Toc7901"/>
      <w:bookmarkStart w:id="90" w:name="_Toc13345"/>
      <w:bookmarkStart w:id="91" w:name="_Toc16075"/>
      <w:bookmarkStart w:id="92" w:name="_Toc15714"/>
      <w:bookmarkStart w:id="93" w:name="_Toc18704"/>
      <w:bookmarkStart w:id="94" w:name="_Toc3576"/>
      <w:bookmarkStart w:id="95" w:name="_Toc12555"/>
      <w:bookmarkStart w:id="96" w:name="_Toc31436"/>
      <w:bookmarkStart w:id="97" w:name="_Toc24857"/>
      <w:bookmarkStart w:id="98" w:name="_Toc30250"/>
      <w:bookmarkStart w:id="99" w:name="_Toc19732"/>
      <w:r>
        <w:rPr>
          <w:rFonts w:hint="eastAsia"/>
          <w:b w:val="0"/>
          <w:bCs/>
          <w:color w:val="000000" w:themeColor="text1"/>
          <w:lang w:val="en-US" w:eastAsia="zh-CN"/>
          <w14:textFill>
            <w14:solidFill>
              <w14:schemeClr w14:val="tx1"/>
            </w14:solidFill>
          </w14:textFill>
        </w:rPr>
        <w:t>七、协议签订</w:t>
      </w:r>
      <w:bookmarkEnd w:id="87"/>
      <w:bookmarkEnd w:id="88"/>
      <w:bookmarkEnd w:id="89"/>
      <w:bookmarkEnd w:id="90"/>
      <w:bookmarkEnd w:id="91"/>
      <w:bookmarkEnd w:id="92"/>
      <w:bookmarkEnd w:id="93"/>
      <w:bookmarkEnd w:id="94"/>
      <w:bookmarkEnd w:id="95"/>
      <w:bookmarkEnd w:id="96"/>
      <w:bookmarkEnd w:id="97"/>
      <w:bookmarkEnd w:id="98"/>
      <w:bookmarkEnd w:id="9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采购协议每年一签，超出协议采购量的部分，中选企业仍需按中选价格进行供应，直至采购周期届满。</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2.公布中选结果后，各中选企业应按照中选产品及中选价格与配送企业、医疗机构签订带量采购协议，并严格履行采购协议，切实保障中选产品质量和供应。</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3.采购协议必须如实反映实际供应价格和采购量，采购方应当根据协议约定时间及时回款，不得拖欠。</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4.采购协议签订后，医疗机构与中选企业不得再订立背离协议实质性内容的其他协议，或提出协议之外的任何利益性要求。</w:t>
      </w:r>
    </w:p>
    <w:p>
      <w:pPr>
        <w:widowControl/>
        <w:spacing w:line="560" w:lineRule="exact"/>
        <w:ind w:firstLine="640" w:firstLineChars="200"/>
        <w:rPr>
          <w:rFonts w:hint="default"/>
          <w:lang w:val="en-US"/>
        </w:rPr>
      </w:pPr>
      <w:r>
        <w:rPr>
          <w:rFonts w:hint="eastAsia" w:ascii="仿宋_GB2312" w:hAnsi="仿宋_GB2312" w:eastAsia="仿宋_GB2312" w:cs="仿宋_GB2312"/>
          <w:color w:val="000000"/>
          <w:kern w:val="0"/>
          <w:sz w:val="32"/>
          <w:szCs w:val="32"/>
          <w:lang w:val="en-US" w:eastAsia="zh-CN" w:bidi="ar"/>
        </w:rPr>
        <w:t>5.自采购周期执行日起，超过三个月未按照要求与医疗机构签订采购协议或不供应、不配送等不能按时满足医疗机构采购需求的中选企业，结合实际情况，按照程序中止其中选资格，并按照相关规定处理。</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b w:val="0"/>
          <w:bCs/>
          <w:color w:val="000000" w:themeColor="text1"/>
          <w:lang w:val="en-US" w:eastAsia="zh-CN"/>
          <w14:textFill>
            <w14:solidFill>
              <w14:schemeClr w14:val="tx1"/>
            </w14:solidFill>
          </w14:textFill>
        </w:rPr>
      </w:pPr>
      <w:bookmarkStart w:id="100" w:name="_Toc16670"/>
      <w:bookmarkStart w:id="101" w:name="_Toc9090"/>
      <w:bookmarkStart w:id="102" w:name="_Toc29930"/>
      <w:bookmarkStart w:id="103" w:name="_Toc29813"/>
      <w:bookmarkStart w:id="104" w:name="_Toc20963"/>
      <w:bookmarkStart w:id="105" w:name="_Toc12701"/>
      <w:bookmarkStart w:id="106" w:name="_Toc29784"/>
      <w:bookmarkStart w:id="107" w:name="_Toc8447"/>
      <w:bookmarkStart w:id="108" w:name="_Toc24340"/>
      <w:bookmarkStart w:id="109" w:name="_Toc21198"/>
      <w:bookmarkStart w:id="110" w:name="_Toc3900"/>
      <w:bookmarkStart w:id="111" w:name="_Toc32216"/>
      <w:bookmarkStart w:id="112" w:name="_Toc23055"/>
      <w:r>
        <w:rPr>
          <w:rFonts w:hint="eastAsia"/>
          <w:b w:val="0"/>
          <w:bCs/>
          <w:color w:val="000000" w:themeColor="text1"/>
          <w:lang w:val="en-US" w:eastAsia="zh-CN"/>
          <w14:textFill>
            <w14:solidFill>
              <w14:schemeClr w14:val="tx1"/>
            </w14:solidFill>
          </w14:textFill>
        </w:rPr>
        <w:t>八、信息公告及采购文件获取</w:t>
      </w:r>
      <w:bookmarkEnd w:id="100"/>
      <w:bookmarkEnd w:id="101"/>
      <w:bookmarkEnd w:id="102"/>
      <w:bookmarkEnd w:id="103"/>
      <w:bookmarkEnd w:id="104"/>
      <w:bookmarkEnd w:id="105"/>
      <w:bookmarkEnd w:id="106"/>
      <w:bookmarkEnd w:id="107"/>
      <w:bookmarkEnd w:id="108"/>
      <w:bookmarkEnd w:id="109"/>
      <w:bookmarkEnd w:id="110"/>
      <w:bookmarkEnd w:id="111"/>
      <w:bookmarkEnd w:id="1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本次甘肃省甲状腺功能检测试剂集中带量采购工作所有公告</w:t>
      </w:r>
      <w:r>
        <w:rPr>
          <w:rFonts w:hint="eastAsia" w:ascii="仿宋_GB2312" w:hAnsi="仿宋_GB2312" w:eastAsia="仿宋_GB2312" w:cs="仿宋_GB2312"/>
          <w:color w:val="000000" w:themeColor="text1"/>
          <w:sz w:val="32"/>
          <w:szCs w:val="32"/>
          <w14:textFill>
            <w14:solidFill>
              <w14:schemeClr w14:val="tx1"/>
            </w14:solidFill>
          </w14:textFill>
        </w:rPr>
        <w:t>通过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甘肃省医疗保障局门户网站（http://ylbz.gansu.gov.cn/）或</w:t>
      </w:r>
      <w:r>
        <w:rPr>
          <w:rFonts w:hint="eastAsia" w:ascii="仿宋_GB2312" w:hAnsi="仿宋_GB2312" w:eastAsia="仿宋_GB2312" w:cs="仿宋_GB2312"/>
          <w:color w:val="000000" w:themeColor="text1"/>
          <w:sz w:val="32"/>
          <w:szCs w:val="32"/>
          <w:lang w:eastAsia="zh-CN"/>
          <w14:textFill>
            <w14:solidFill>
              <w14:schemeClr w14:val="tx1"/>
            </w14:solidFill>
          </w14:textFill>
        </w:rPr>
        <w:t>甘肃省公共资源交易网</w:t>
      </w:r>
      <w:r>
        <w:rPr>
          <w:rFonts w:hint="eastAsia" w:ascii="仿宋_GB2312" w:hAnsi="仿宋_GB2312" w:eastAsia="仿宋_GB2312" w:cs="仿宋_GB2312"/>
          <w:color w:val="000000" w:themeColor="text1"/>
          <w:sz w:val="32"/>
          <w:szCs w:val="32"/>
          <w14:textFill>
            <w14:solidFill>
              <w14:schemeClr w14:val="tx1"/>
            </w14:solidFill>
          </w14:textFill>
        </w:rPr>
        <w:t>（http://ggzyjy.gansu.gov.cn/）</w:t>
      </w:r>
      <w:r>
        <w:rPr>
          <w:rFonts w:hint="eastAsia" w:ascii="仿宋_GB2312" w:hAnsi="仿宋_GB2312" w:eastAsia="仿宋_GB2312" w:cs="仿宋_GB2312"/>
          <w:color w:val="000000" w:themeColor="text1"/>
          <w:sz w:val="32"/>
          <w:szCs w:val="32"/>
          <w:lang w:eastAsia="zh-CN"/>
          <w14:textFill>
            <w14:solidFill>
              <w14:schemeClr w14:val="tx1"/>
            </w14:solidFill>
          </w14:textFill>
        </w:rPr>
        <w:t>发布并</w:t>
      </w:r>
      <w:r>
        <w:rPr>
          <w:rFonts w:hint="eastAsia" w:ascii="仿宋_GB2312" w:hAnsi="仿宋_GB2312" w:eastAsia="仿宋_GB2312" w:cs="仿宋_GB2312"/>
          <w:color w:val="000000" w:themeColor="text1"/>
          <w:sz w:val="32"/>
          <w:szCs w:val="32"/>
          <w14:textFill>
            <w14:solidFill>
              <w14:schemeClr w14:val="tx1"/>
            </w14:solidFill>
          </w14:textFill>
        </w:rPr>
        <w:t>获取。</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color w:val="000000" w:themeColor="text1"/>
          <w:lang w:val="en-US" w:eastAsia="zh-CN"/>
          <w14:textFill>
            <w14:solidFill>
              <w14:schemeClr w14:val="tx1"/>
            </w14:solidFill>
          </w14:textFill>
        </w:rPr>
      </w:pPr>
      <w:bookmarkStart w:id="113" w:name="_Toc21409"/>
      <w:bookmarkStart w:id="114" w:name="_Toc25883"/>
      <w:bookmarkStart w:id="115" w:name="_Toc22540"/>
      <w:bookmarkStart w:id="116" w:name="_Toc26334"/>
      <w:bookmarkStart w:id="117" w:name="_Toc1920"/>
      <w:bookmarkStart w:id="118" w:name="_Toc9981"/>
      <w:bookmarkStart w:id="119" w:name="_Toc9976"/>
      <w:bookmarkStart w:id="120" w:name="_Toc2970"/>
      <w:bookmarkStart w:id="121" w:name="_Toc23814"/>
      <w:bookmarkStart w:id="122" w:name="_Toc8374"/>
      <w:bookmarkStart w:id="123" w:name="_Toc15189"/>
      <w:bookmarkStart w:id="124" w:name="_Toc28822"/>
      <w:bookmarkStart w:id="125" w:name="_Toc281"/>
      <w:r>
        <w:rPr>
          <w:rFonts w:hint="eastAsia"/>
          <w:b w:val="0"/>
          <w:bCs/>
          <w:color w:val="000000" w:themeColor="text1"/>
          <w:lang w:val="en-US" w:eastAsia="zh-CN"/>
          <w14:textFill>
            <w14:solidFill>
              <w14:schemeClr w14:val="tx1"/>
            </w14:solidFill>
          </w14:textFill>
        </w:rPr>
        <w:t>九、联系方式</w:t>
      </w:r>
      <w:bookmarkEnd w:id="113"/>
      <w:bookmarkEnd w:id="114"/>
      <w:bookmarkEnd w:id="115"/>
      <w:bookmarkEnd w:id="116"/>
      <w:bookmarkEnd w:id="117"/>
      <w:bookmarkEnd w:id="118"/>
      <w:bookmarkEnd w:id="119"/>
      <w:bookmarkEnd w:id="120"/>
      <w:bookmarkEnd w:id="121"/>
      <w:bookmarkEnd w:id="122"/>
      <w:bookmarkEnd w:id="123"/>
      <w:bookmarkEnd w:id="124"/>
      <w:bookmarkEnd w:id="12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省公共资源交易中心：0931-290919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、29092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宋体" w:hAnsi="宋体" w:eastAsia="宋体" w:cs="宋体"/>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省医疗保障局：0931-8127072</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before="340" w:beforeLines="0" w:after="330" w:afterLines="0" w:line="560" w:lineRule="exact"/>
        <w:ind w:left="0" w:leftChars="0" w:right="0" w:rightChars="0" w:firstLine="0" w:firstLineChars="0"/>
        <w:jc w:val="center"/>
        <w:textAlignment w:val="auto"/>
        <w:outlineLvl w:val="0"/>
        <w:rPr>
          <w:rFonts w:hint="eastAsia" w:ascii="方正公文小标宋" w:hAnsi="方正公文小标宋" w:eastAsia="方正公文小标宋" w:cs="方正公文小标宋"/>
          <w:b w:val="0"/>
          <w:bCs/>
          <w:color w:val="000000" w:themeColor="text1"/>
          <w:lang w:val="en-US" w:eastAsia="zh-CN"/>
          <w14:textFill>
            <w14:solidFill>
              <w14:schemeClr w14:val="tx1"/>
            </w14:solidFill>
          </w14:textFill>
        </w:rPr>
      </w:pPr>
      <w:bookmarkStart w:id="126" w:name="_Toc18343"/>
      <w:bookmarkStart w:id="127" w:name="_Toc18055"/>
      <w:bookmarkStart w:id="128" w:name="_Toc5161"/>
      <w:bookmarkStart w:id="129" w:name="_Toc3947"/>
      <w:bookmarkStart w:id="130" w:name="_Toc1336"/>
      <w:bookmarkStart w:id="131" w:name="_Toc21655"/>
      <w:bookmarkStart w:id="132" w:name="_Toc2938"/>
      <w:bookmarkStart w:id="133" w:name="_Toc4718"/>
      <w:bookmarkStart w:id="134" w:name="_Toc22066"/>
      <w:bookmarkStart w:id="135" w:name="_Toc8943"/>
      <w:bookmarkStart w:id="136" w:name="_Toc9788"/>
      <w:bookmarkStart w:id="137" w:name="_Toc27878"/>
      <w:bookmarkStart w:id="138" w:name="_Toc8117"/>
      <w:bookmarkStart w:id="139" w:name="_Toc8197"/>
      <w:r>
        <w:rPr>
          <w:rFonts w:hint="eastAsia" w:ascii="方正公文小标宋" w:hAnsi="方正公文小标宋" w:eastAsia="方正公文小标宋" w:cs="方正公文小标宋"/>
          <w:b w:val="0"/>
          <w:bCs/>
          <w:color w:val="000000" w:themeColor="text1"/>
          <w:lang w:val="en-US" w:eastAsia="zh-CN"/>
          <w14:textFill>
            <w14:solidFill>
              <w14:schemeClr w14:val="tx1"/>
            </w14:solidFill>
          </w14:textFill>
        </w:rPr>
        <w:t>第二部分  申报企业须知</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color w:val="000000" w:themeColor="text1"/>
          <w:lang w:val="en-US" w:eastAsia="zh-CN"/>
          <w14:textFill>
            <w14:solidFill>
              <w14:schemeClr w14:val="tx1"/>
            </w14:solidFill>
          </w14:textFill>
        </w:rPr>
      </w:pPr>
      <w:bookmarkStart w:id="140" w:name="_Toc28375"/>
      <w:bookmarkStart w:id="141" w:name="_Toc6356"/>
      <w:bookmarkStart w:id="142" w:name="_Toc29422"/>
      <w:bookmarkStart w:id="143" w:name="_Toc46"/>
      <w:bookmarkStart w:id="144" w:name="_Toc2402"/>
      <w:bookmarkStart w:id="145" w:name="_Toc12933"/>
      <w:bookmarkStart w:id="146" w:name="_Toc20054"/>
      <w:bookmarkStart w:id="147" w:name="_Toc16016"/>
      <w:bookmarkStart w:id="148" w:name="_Toc2672"/>
      <w:bookmarkStart w:id="149" w:name="_Toc28037"/>
      <w:bookmarkStart w:id="150" w:name="_Toc9195"/>
      <w:bookmarkStart w:id="151" w:name="_Toc9041"/>
      <w:bookmarkStart w:id="152" w:name="_Toc27122"/>
      <w:r>
        <w:rPr>
          <w:rFonts w:hint="eastAsia"/>
          <w:b w:val="0"/>
          <w:bCs/>
          <w:color w:val="000000" w:themeColor="text1"/>
          <w:lang w:val="en-US" w:eastAsia="zh-CN"/>
          <w14:textFill>
            <w14:solidFill>
              <w14:schemeClr w14:val="tx1"/>
            </w14:solidFill>
          </w14:textFill>
        </w:rPr>
        <w:t>一、申报企业资格</w:t>
      </w:r>
      <w:bookmarkEnd w:id="140"/>
      <w:bookmarkEnd w:id="141"/>
      <w:bookmarkEnd w:id="142"/>
      <w:bookmarkEnd w:id="143"/>
      <w:bookmarkEnd w:id="144"/>
      <w:bookmarkEnd w:id="145"/>
      <w:bookmarkEnd w:id="146"/>
      <w:bookmarkEnd w:id="147"/>
      <w:bookmarkEnd w:id="148"/>
      <w:bookmarkEnd w:id="149"/>
      <w:bookmarkEnd w:id="150"/>
      <w:bookmarkEnd w:id="151"/>
      <w:bookmarkEnd w:id="152"/>
    </w:p>
    <w:p>
      <w:pPr>
        <w:numPr>
          <w:ilvl w:val="0"/>
          <w:numId w:val="0"/>
        </w:numPr>
        <w:spacing w:line="560" w:lineRule="exact"/>
        <w:ind w:firstLine="640" w:firstLineChars="200"/>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申报企业应具有履行协议必须具备的能力。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申报企业和医疗器械注册人未被列入当前《全国医药价格和招采失信企业风险警示名单》和失信评定结果为“严重”或“特别严重”。</w:t>
      </w:r>
    </w:p>
    <w:p>
      <w:pPr>
        <w:numPr>
          <w:ilvl w:val="0"/>
          <w:numId w:val="0"/>
        </w:numPr>
        <w:spacing w:line="560" w:lineRule="exact"/>
        <w:ind w:firstLine="640" w:firstLineChars="200"/>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自采购文件对外公布之日起前两年内，申报企业不存在因申报品种质量等问题被省级（含）以上药品监督管理部门处罚并公告的情况；申报品种不存在省级（含）以上药品监督管理部门质量检验不合格的情况。</w:t>
      </w:r>
    </w:p>
    <w:p>
      <w:pPr>
        <w:numPr>
          <w:ilvl w:val="0"/>
          <w:numId w:val="0"/>
        </w:numPr>
        <w:spacing w:line="560" w:lineRule="exact"/>
        <w:ind w:firstLine="640" w:firstLineChars="200"/>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（四）申报企业应遵守《中华人民共和国民法典》《中华人民共和国专利法》《中华人民共和国反不正当竞争法》等相关法律法规，如实提供申报材料或证明材料，对提供虚假材料的，依法追究其法律责任。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申报企业为取得本次</w:t>
      </w:r>
      <w:r>
        <w:rPr>
          <w:rFonts w:hint="eastAsia" w:ascii="仿宋_GB2312" w:hAnsi="仿宋_GB2312" w:eastAsia="仿宋_GB2312" w:cs="仿宋_GB2312"/>
          <w:color w:val="000000" w:themeColor="text1"/>
          <w:sz w:val="32"/>
          <w:szCs w:val="32"/>
          <w:lang w:eastAsia="zh-CN"/>
          <w14:textFill>
            <w14:solidFill>
              <w14:schemeClr w14:val="tx1"/>
            </w14:solidFill>
          </w14:textFill>
        </w:rPr>
        <w:t>集中带量采购</w:t>
      </w:r>
      <w:r>
        <w:rPr>
          <w:rFonts w:hint="eastAsia" w:ascii="仿宋_GB2312" w:hAnsi="仿宋_GB2312" w:eastAsia="仿宋_GB2312" w:cs="仿宋_GB2312"/>
          <w:color w:val="000000" w:themeColor="text1"/>
          <w:sz w:val="32"/>
          <w:szCs w:val="32"/>
          <w14:textFill>
            <w14:solidFill>
              <w14:schemeClr w14:val="tx1"/>
            </w14:solidFill>
          </w14:textFill>
        </w:rPr>
        <w:t>产品合法资质的医疗器械注册人，其中境外医疗器械注册人应当指定我国境内企业法人协助其履行相应的法律义务，委托其作为申报企业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（代理人）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rPr>
        <w:t>同一医疗器械注册</w:t>
      </w:r>
      <w:r>
        <w:rPr>
          <w:rFonts w:hint="eastAsia" w:ascii="仿宋_GB2312" w:hAnsi="仿宋_GB2312" w:eastAsia="仿宋_GB2312" w:cs="仿宋_GB2312"/>
          <w:color w:val="auto"/>
          <w:sz w:val="32"/>
          <w:szCs w:val="32"/>
          <w:lang w:eastAsia="zh-CN"/>
        </w:rPr>
        <w:t>人（代理人）的同一注册</w:t>
      </w:r>
      <w:r>
        <w:rPr>
          <w:rFonts w:hint="eastAsia" w:ascii="仿宋_GB2312" w:hAnsi="仿宋_GB2312" w:eastAsia="仿宋_GB2312" w:cs="仿宋_GB2312"/>
          <w:strike w:val="0"/>
          <w:color w:val="auto"/>
          <w:sz w:val="32"/>
          <w:szCs w:val="32"/>
        </w:rPr>
        <w:t>证</w:t>
      </w:r>
      <w:r>
        <w:rPr>
          <w:rFonts w:hint="eastAsia" w:ascii="仿宋_GB2312" w:hAnsi="仿宋_GB2312" w:eastAsia="仿宋_GB2312" w:cs="仿宋_GB2312"/>
          <w:color w:val="auto"/>
          <w:sz w:val="32"/>
          <w:szCs w:val="32"/>
          <w:lang w:eastAsia="zh-CN"/>
        </w:rPr>
        <w:t>必须</w:t>
      </w:r>
      <w:r>
        <w:rPr>
          <w:rFonts w:hint="eastAsia" w:ascii="仿宋_GB2312" w:hAnsi="仿宋_GB2312" w:eastAsia="仿宋_GB2312" w:cs="仿宋_GB2312"/>
          <w:color w:val="auto"/>
          <w:sz w:val="32"/>
          <w:szCs w:val="32"/>
        </w:rPr>
        <w:t>委托同</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企业申报</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000000" w:themeColor="text1"/>
          <w:sz w:val="32"/>
          <w:szCs w:val="32"/>
          <w14:textFill>
            <w14:solidFill>
              <w14:schemeClr w14:val="tx1"/>
            </w14:solidFill>
          </w14:textFill>
        </w:rPr>
        <w:t>境外</w:t>
      </w:r>
      <w:r>
        <w:rPr>
          <w:rFonts w:hint="eastAsia" w:ascii="仿宋_GB2312" w:hAnsi="仿宋_GB2312" w:eastAsia="仿宋_GB2312" w:cs="仿宋_GB2312"/>
          <w:color w:val="000000" w:themeColor="text1"/>
          <w:sz w:val="32"/>
          <w:szCs w:val="32"/>
          <w:lang w:eastAsia="zh-CN"/>
          <w14:textFill>
            <w14:solidFill>
              <w14:schemeClr w14:val="tx1"/>
            </w14:solidFill>
          </w14:textFill>
        </w:rPr>
        <w:t>体外诊断试剂</w:t>
      </w:r>
      <w:r>
        <w:rPr>
          <w:rFonts w:hint="eastAsia" w:ascii="仿宋_GB2312" w:hAnsi="仿宋_GB2312" w:eastAsia="仿宋_GB2312" w:cs="仿宋_GB2312"/>
          <w:color w:val="000000" w:themeColor="text1"/>
          <w:sz w:val="32"/>
          <w:szCs w:val="32"/>
          <w14:textFill>
            <w14:solidFill>
              <w14:schemeClr w14:val="tx1"/>
            </w14:solidFill>
          </w14:textFill>
        </w:rPr>
        <w:t>产品的授权经销期限必须覆盖整个采购周期。不同医疗器械注册人（代理人）为同一实际控制人或存在控股关系</w:t>
      </w:r>
      <w:r>
        <w:rPr>
          <w:rFonts w:hint="eastAsia" w:ascii="仿宋_GB2312" w:hAnsi="仿宋_GB2312" w:eastAsia="仿宋_GB2312" w:cs="仿宋_GB2312"/>
          <w:color w:val="000000" w:themeColor="text1"/>
          <w:sz w:val="32"/>
          <w:szCs w:val="32"/>
          <w:lang w:eastAsia="zh-CN"/>
          <w14:textFill>
            <w14:solidFill>
              <w14:schemeClr w14:val="tx1"/>
            </w14:solidFill>
          </w14:textFill>
        </w:rPr>
        <w:t>，或委托</w:t>
      </w:r>
      <w:r>
        <w:rPr>
          <w:rFonts w:hint="eastAsia" w:ascii="仿宋_GB2312" w:hAnsi="仿宋_GB2312" w:eastAsia="仿宋_GB2312" w:cs="仿宋_GB2312"/>
          <w:color w:val="000000" w:themeColor="text1"/>
          <w:sz w:val="32"/>
          <w:szCs w:val="32"/>
          <w14:textFill>
            <w14:solidFill>
              <w14:schemeClr w14:val="tx1"/>
            </w14:solidFill>
          </w14:textFill>
        </w:rPr>
        <w:t>同一家企业申报， 视为存在关联关系；不同医疗器械注册人（代理人）委托不同企业申报，但受托企业为同一实际控制人或存在控股关系，视为企业间存在关联关系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numPr>
          <w:ilvl w:val="0"/>
          <w:numId w:val="0"/>
        </w:numPr>
        <w:spacing w:line="560" w:lineRule="exact"/>
        <w:ind w:firstLine="640" w:firstLineChars="200"/>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（六）申报企业应对申报产品的质量负责。作为保障供应的第一责任人，中选后应及时、足量按要求组织生产，并向配送企业供应中选产品，满足医疗机构临床使用需求。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申报企业或委托的配送企业应向医疗机构提供必要的伴随服务，伴随服务应包含但不限于物流配送、仓储管理、合规技术服务支持、对医疗机构进行使用操作培训等必需的相关服务，服务内容、质量、标准不得低于集中带量采购前。</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b w:val="0"/>
          <w:bCs/>
          <w:color w:val="000000" w:themeColor="text1"/>
          <w:lang w:val="en-US" w:eastAsia="zh-CN"/>
          <w14:textFill>
            <w14:solidFill>
              <w14:schemeClr w14:val="tx1"/>
            </w14:solidFill>
          </w14:textFill>
        </w:rPr>
      </w:pPr>
      <w:bookmarkStart w:id="153" w:name="_Toc12623"/>
      <w:bookmarkStart w:id="154" w:name="_Toc25209"/>
      <w:bookmarkStart w:id="155" w:name="_Toc26543"/>
      <w:bookmarkStart w:id="156" w:name="_Toc13588"/>
      <w:bookmarkStart w:id="157" w:name="_Toc7381"/>
      <w:bookmarkStart w:id="158" w:name="_Toc27939"/>
      <w:bookmarkStart w:id="159" w:name="_Toc3690"/>
      <w:bookmarkStart w:id="160" w:name="_Toc31784"/>
      <w:bookmarkStart w:id="161" w:name="_Toc15598"/>
      <w:bookmarkStart w:id="162" w:name="_Toc18919"/>
      <w:bookmarkStart w:id="163" w:name="_Toc23955"/>
      <w:bookmarkStart w:id="164" w:name="_Toc69"/>
      <w:bookmarkStart w:id="165" w:name="_Toc21789"/>
      <w:r>
        <w:rPr>
          <w:rFonts w:hint="eastAsia"/>
          <w:b w:val="0"/>
          <w:bCs/>
          <w:color w:val="000000" w:themeColor="text1"/>
          <w:lang w:val="en-US" w:eastAsia="zh-CN"/>
          <w14:textFill>
            <w14:solidFill>
              <w14:schemeClr w14:val="tx1"/>
            </w14:solidFill>
          </w14:textFill>
        </w:rPr>
        <w:t>二、申报方式及材料</w:t>
      </w:r>
      <w:bookmarkEnd w:id="153"/>
      <w:bookmarkEnd w:id="154"/>
      <w:bookmarkEnd w:id="155"/>
      <w:bookmarkEnd w:id="156"/>
      <w:bookmarkEnd w:id="157"/>
      <w:bookmarkEnd w:id="158"/>
      <w:bookmarkEnd w:id="159"/>
      <w:bookmarkEnd w:id="160"/>
      <w:bookmarkEnd w:id="161"/>
      <w:bookmarkEnd w:id="162"/>
      <w:bookmarkEnd w:id="163"/>
      <w:bookmarkEnd w:id="164"/>
      <w:bookmarkEnd w:id="16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（一）申报方式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企业登录招采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子系统，在医用耗材招标管理模块</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中的带量采购管理模块</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维护相关信息并上传对应材料。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（二）申报企业资质材料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《企业营业执照》，若为“三证合一”的新证书，无需申报第2、3项；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《组织机构代码证》(统一社会信用代码)；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《税务登记证》；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4.法定代表人授权书；</w:t>
      </w: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甘肃省甲状腺功能检测试剂集中带量采购申报函及信用承诺书</w:t>
      </w: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境外医疗器械注册人委托境内企业法人委托书。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（三）申报产品资质材料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1.医疗器械注册证。如医疗器械注册证正在办理延期手续的，需提供受理通知单。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2.所有申报产品的说明书各1份。</w:t>
      </w:r>
    </w:p>
    <w:p>
      <w:pPr>
        <w:pStyle w:val="2"/>
        <w:spacing w:line="560" w:lineRule="exact"/>
        <w:ind w:firstLine="640" w:firstLineChars="200"/>
        <w:rPr>
          <w:rFonts w:hint="default"/>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3.所有申报产品的检验报告。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（四）填报要求</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申报企业的企业和产品资质材料及其他申报相关材料等</w:t>
      </w:r>
      <w:r>
        <w:rPr>
          <w:rFonts w:hint="eastAsia" w:ascii="仿宋_GB2312" w:hAnsi="仿宋_GB2312" w:eastAsia="仿宋_GB2312" w:cs="仿宋_GB2312"/>
          <w:color w:val="000000" w:themeColor="text1"/>
          <w:sz w:val="32"/>
          <w:szCs w:val="32"/>
          <w:lang w:eastAsia="zh-CN"/>
          <w14:textFill>
            <w14:solidFill>
              <w14:schemeClr w14:val="tx1"/>
            </w14:solidFill>
          </w14:textFill>
        </w:rPr>
        <w:t>应</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在规定时间内如实提供。</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bidi="ar-SA"/>
        </w:rPr>
      </w:pPr>
      <w:r>
        <w:rPr>
          <w:rFonts w:hint="eastAsia" w:ascii="仿宋_GB2312" w:hAnsi="仿宋_GB2312" w:eastAsia="仿宋_GB2312" w:cs="仿宋_GB2312"/>
          <w:kern w:val="2"/>
          <w:sz w:val="32"/>
          <w:szCs w:val="32"/>
          <w:lang w:val="en-US" w:eastAsia="zh-CN" w:bidi="ar-SA"/>
        </w:rPr>
        <w:t>申报材料中涉及到的证书、证明材料等均应在有效期内且均须加盖公章。如为外文材料，</w:t>
      </w:r>
      <w:r>
        <w:rPr>
          <w:rFonts w:hint="eastAsia" w:ascii="仿宋_GB2312" w:hAnsi="仿宋_GB2312" w:eastAsia="仿宋_GB2312" w:cs="仿宋_GB2312"/>
          <w:sz w:val="32"/>
          <w:szCs w:val="32"/>
          <w:shd w:val="clear"/>
          <w:lang w:val="en-US" w:eastAsia="zh-CN"/>
        </w:rPr>
        <w:t>应附有中文翻译内容，并以中文翻译内容为准。</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申报时间截止后不再受理新增及补充修改</w:t>
      </w:r>
      <w:r>
        <w:rPr>
          <w:rFonts w:hint="eastAsia" w:ascii="仿宋_GB2312" w:hAnsi="仿宋_GB2312" w:eastAsia="仿宋_GB2312" w:cs="仿宋_GB2312"/>
          <w:kern w:val="2"/>
          <w:sz w:val="32"/>
          <w:szCs w:val="32"/>
          <w:lang w:bidi="ar-SA"/>
        </w:rPr>
        <w:t>，</w:t>
      </w:r>
      <w:r>
        <w:rPr>
          <w:rFonts w:hint="eastAsia" w:ascii="仿宋_GB2312" w:hAnsi="仿宋_GB2312" w:eastAsia="仿宋_GB2312" w:cs="仿宋_GB2312"/>
          <w:color w:val="000000" w:themeColor="text1"/>
          <w:kern w:val="2"/>
          <w:sz w:val="32"/>
          <w:szCs w:val="32"/>
          <w:shd w:val="clear" w:color="auto" w:fill="FFFFFF"/>
          <w:lang w:val="en-US" w:eastAsia="zh-CN" w:bidi="ar-SA"/>
          <w14:textFill>
            <w14:solidFill>
              <w14:schemeClr w14:val="tx1"/>
            </w14:solidFill>
          </w14:textFill>
        </w:rPr>
        <w:t>由此引起的后</w:t>
      </w: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果</w:t>
      </w:r>
      <w:r>
        <w:rPr>
          <w:rFonts w:hint="eastAsia" w:ascii="仿宋_GB2312" w:hAnsi="仿宋_GB2312" w:eastAsia="仿宋_GB2312" w:cs="仿宋_GB2312"/>
          <w:kern w:val="2"/>
          <w:sz w:val="32"/>
          <w:szCs w:val="32"/>
          <w:lang w:bidi="ar-SA"/>
        </w:rPr>
        <w:t>申报企业自行负责。</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若申报企业不具备申报资格中规定</w:t>
      </w:r>
      <w:r>
        <w:rPr>
          <w:rFonts w:hint="eastAsia" w:ascii="仿宋_GB2312" w:hAnsi="宋体" w:eastAsia="仿宋_GB2312" w:cs="仿宋_GB2312"/>
          <w:b/>
          <w:bCs/>
          <w:color w:val="auto"/>
          <w:kern w:val="0"/>
          <w:sz w:val="32"/>
          <w:szCs w:val="32"/>
          <w:lang w:bidi="ar"/>
        </w:rPr>
        <w:t>必须满足的全部要求</w:t>
      </w:r>
      <w:r>
        <w:rPr>
          <w:rFonts w:hint="eastAsia" w:ascii="仿宋_GB2312" w:hAnsi="宋体" w:eastAsia="仿宋_GB2312" w:cs="仿宋_GB2312"/>
          <w:color w:val="auto"/>
          <w:kern w:val="0"/>
          <w:sz w:val="32"/>
          <w:szCs w:val="32"/>
          <w:lang w:bidi="ar"/>
        </w:rPr>
        <w:t>或涉嫌提供虚假证明材料，一经确认视其为无效申报；情节严重的，列入“违规名单”，作出相应处置。</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截止采购文件发布之日，在</w:t>
      </w:r>
      <w:r>
        <w:rPr>
          <w:rFonts w:hint="eastAsia" w:ascii="仿宋_GB2312" w:hAnsi="仿宋_GB2312" w:eastAsia="仿宋_GB2312" w:cs="仿宋_GB2312"/>
          <w:b/>
          <w:bCs/>
          <w:color w:val="auto"/>
          <w:sz w:val="32"/>
          <w:szCs w:val="32"/>
          <w:highlight w:val="none"/>
          <w:u w:val="none"/>
          <w:lang w:val="en-US" w:eastAsia="zh-CN"/>
        </w:rPr>
        <w:t>甘肃省</w:t>
      </w:r>
      <w:r>
        <w:rPr>
          <w:rFonts w:hint="eastAsia" w:ascii="仿宋_GB2312" w:hAnsi="仿宋_GB2312" w:eastAsia="仿宋_GB2312" w:cs="仿宋_GB2312"/>
          <w:b/>
          <w:bCs/>
          <w:color w:val="auto"/>
          <w:sz w:val="32"/>
          <w:szCs w:val="32"/>
          <w:highlight w:val="none"/>
          <w:u w:val="none"/>
          <w:lang w:eastAsia="zh-CN"/>
        </w:rPr>
        <w:t>有销售记录的</w:t>
      </w:r>
      <w:r>
        <w:rPr>
          <w:rFonts w:hint="eastAsia" w:ascii="仿宋_GB2312" w:hAnsi="仿宋_GB2312" w:eastAsia="仿宋_GB2312" w:cs="仿宋_GB2312"/>
          <w:b/>
          <w:bCs/>
          <w:color w:val="auto"/>
          <w:sz w:val="32"/>
          <w:szCs w:val="32"/>
          <w:highlight w:val="none"/>
          <w:u w:val="none"/>
        </w:rPr>
        <w:t>符合申报条件</w:t>
      </w:r>
      <w:r>
        <w:rPr>
          <w:rFonts w:hint="eastAsia" w:ascii="仿宋_GB2312" w:hAnsi="仿宋_GB2312" w:eastAsia="仿宋_GB2312" w:cs="仿宋_GB2312"/>
          <w:b/>
          <w:bCs/>
          <w:color w:val="auto"/>
          <w:sz w:val="32"/>
          <w:szCs w:val="32"/>
          <w:highlight w:val="none"/>
          <w:u w:val="none"/>
          <w:lang w:val="en-US" w:eastAsia="zh-CN"/>
        </w:rPr>
        <w:t>的</w:t>
      </w:r>
      <w:r>
        <w:rPr>
          <w:rFonts w:hint="eastAsia" w:ascii="仿宋_GB2312" w:hAnsi="仿宋_GB2312" w:eastAsia="仿宋_GB2312" w:cs="仿宋_GB2312"/>
          <w:b/>
          <w:bCs/>
          <w:color w:val="auto"/>
          <w:sz w:val="32"/>
          <w:szCs w:val="32"/>
          <w:highlight w:val="none"/>
          <w:u w:val="none"/>
          <w:lang w:eastAsia="zh-CN"/>
        </w:rPr>
        <w:t>企业均须参加本次</w:t>
      </w:r>
      <w:r>
        <w:rPr>
          <w:rFonts w:hint="eastAsia" w:ascii="仿宋_GB2312" w:hAnsi="仿宋_GB2312" w:eastAsia="仿宋_GB2312" w:cs="仿宋_GB2312"/>
          <w:b/>
          <w:bCs/>
          <w:color w:val="auto"/>
          <w:sz w:val="32"/>
          <w:szCs w:val="32"/>
          <w:highlight w:val="none"/>
          <w:u w:val="none"/>
          <w:lang w:val="en-US" w:eastAsia="zh-CN"/>
        </w:rPr>
        <w:t>甲状腺功能检测试剂</w:t>
      </w:r>
      <w:r>
        <w:rPr>
          <w:rFonts w:hint="eastAsia" w:ascii="仿宋_GB2312" w:hAnsi="仿宋_GB2312" w:eastAsia="仿宋_GB2312" w:cs="仿宋_GB2312"/>
          <w:b/>
          <w:bCs/>
          <w:color w:val="auto"/>
          <w:sz w:val="32"/>
          <w:szCs w:val="32"/>
          <w:highlight w:val="none"/>
          <w:u w:val="none"/>
          <w:lang w:eastAsia="zh-CN"/>
        </w:rPr>
        <w:t>集中带量采购。</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所有申报企业必须申报其生产（代理）的全部采购品种。</w:t>
      </w: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166" w:name="_Toc24139"/>
      <w:bookmarkStart w:id="167" w:name="_Toc6582"/>
      <w:bookmarkStart w:id="168" w:name="_Toc19696"/>
      <w:bookmarkStart w:id="169" w:name="_Toc27749"/>
      <w:bookmarkStart w:id="170" w:name="_Toc6278"/>
      <w:bookmarkStart w:id="171" w:name="_Toc17558"/>
      <w:bookmarkStart w:id="172" w:name="_Toc10758"/>
      <w:bookmarkStart w:id="173" w:name="_Toc14082"/>
      <w:bookmarkStart w:id="174" w:name="_Toc12464"/>
      <w:bookmarkStart w:id="175" w:name="_Toc7170"/>
      <w:bookmarkStart w:id="176" w:name="_Toc21214"/>
      <w:bookmarkStart w:id="177" w:name="_Toc14783"/>
      <w:bookmarkStart w:id="178" w:name="_Toc14563"/>
      <w:r>
        <w:rPr>
          <w:rFonts w:hint="eastAsia" w:ascii="黑体" w:hAnsi="黑体" w:eastAsia="黑体" w:cs="黑体"/>
          <w:b w:val="0"/>
          <w:bCs/>
          <w:color w:val="000000" w:themeColor="text1"/>
          <w:sz w:val="32"/>
          <w:szCs w:val="32"/>
          <w:lang w:val="en-US" w:eastAsia="zh-CN"/>
          <w14:textFill>
            <w14:solidFill>
              <w14:schemeClr w14:val="tx1"/>
            </w14:solidFill>
          </w14:textFill>
        </w:rPr>
        <w:t>三、企业报价</w:t>
      </w:r>
      <w:bookmarkEnd w:id="166"/>
      <w:bookmarkEnd w:id="167"/>
      <w:bookmarkEnd w:id="168"/>
      <w:bookmarkEnd w:id="169"/>
      <w:bookmarkEnd w:id="170"/>
      <w:bookmarkEnd w:id="171"/>
      <w:bookmarkEnd w:id="172"/>
      <w:bookmarkEnd w:id="173"/>
      <w:bookmarkEnd w:id="174"/>
      <w:bookmarkEnd w:id="175"/>
      <w:bookmarkEnd w:id="176"/>
      <w:bookmarkEnd w:id="177"/>
      <w:bookmarkEnd w:id="178"/>
    </w:p>
    <w:p>
      <w:pPr>
        <w:autoSpaceDE/>
        <w:autoSpaceDN/>
        <w:adjustRightInd/>
        <w:spacing w:line="560" w:lineRule="exact"/>
        <w:ind w:firstLine="640" w:firstLineChars="200"/>
        <w:jc w:val="both"/>
        <w:outlineLvl w:val="9"/>
        <w:rPr>
          <w:rFonts w:hint="eastAsia"/>
          <w:lang w:val="en-US" w:eastAsia="zh-CN"/>
        </w:rPr>
      </w:pP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（一）</w:t>
      </w:r>
      <w:r>
        <w:rPr>
          <w:rFonts w:hint="eastAsia" w:ascii="仿宋_GB2312" w:hAnsi="仿宋_GB2312" w:eastAsia="仿宋_GB2312" w:cs="仿宋_GB2312"/>
          <w:color w:val="auto"/>
          <w:sz w:val="32"/>
          <w:szCs w:val="32"/>
          <w:highlight w:val="none"/>
          <w:u w:val="none"/>
          <w:shd w:val="clear" w:color="auto" w:fill="FFFFFF"/>
          <w:lang w:val="en-US" w:eastAsia="zh-CN"/>
        </w:rPr>
        <w:t>申报企业报价时，按照采购品种，</w:t>
      </w:r>
      <w:r>
        <w:rPr>
          <w:rFonts w:hint="eastAsia" w:ascii="仿宋_GB2312" w:hAnsi="仿宋_GB2312" w:eastAsia="仿宋_GB2312" w:cs="仿宋_GB2312"/>
          <w:b/>
          <w:bCs/>
          <w:color w:val="auto"/>
          <w:sz w:val="32"/>
          <w:szCs w:val="32"/>
          <w:highlight w:val="none"/>
          <w:u w:val="none"/>
          <w:shd w:val="clear" w:color="auto" w:fill="FFFFFF"/>
          <w:lang w:val="en-US" w:eastAsia="zh-CN"/>
        </w:rPr>
        <w:t>以人份为单位</w:t>
      </w:r>
      <w:r>
        <w:rPr>
          <w:rFonts w:hint="eastAsia" w:ascii="仿宋_GB2312" w:hAnsi="仿宋_GB2312" w:eastAsia="仿宋_GB2312" w:cs="仿宋_GB2312"/>
          <w:color w:val="auto"/>
          <w:sz w:val="32"/>
          <w:szCs w:val="32"/>
          <w:highlight w:val="none"/>
          <w:u w:val="none"/>
          <w:shd w:val="clear" w:color="auto" w:fill="FFFFFF"/>
          <w:lang w:val="en-US" w:eastAsia="zh-CN"/>
        </w:rPr>
        <w:t>，将申报</w:t>
      </w:r>
      <w:r>
        <w:rPr>
          <w:rFonts w:hint="eastAsia" w:ascii="仿宋_GB2312" w:hAnsi="仿宋_GB2312" w:eastAsia="仿宋_GB2312" w:cs="仿宋_GB2312"/>
          <w:color w:val="auto"/>
          <w:kern w:val="2"/>
          <w:sz w:val="32"/>
          <w:szCs w:val="32"/>
          <w:highlight w:val="none"/>
          <w:u w:val="none"/>
          <w:lang w:val="en-US" w:eastAsia="zh-CN" w:bidi="ar-SA"/>
        </w:rPr>
        <w:t>的</w:t>
      </w:r>
      <w:r>
        <w:rPr>
          <w:rFonts w:hint="eastAsia" w:ascii="仿宋_GB2312" w:hAnsi="仿宋_GB2312" w:eastAsia="仿宋_GB2312" w:cs="仿宋_GB2312"/>
          <w:b/>
          <w:bCs/>
          <w:color w:val="auto"/>
          <w:sz w:val="32"/>
          <w:szCs w:val="32"/>
          <w:highlight w:val="none"/>
          <w:u w:val="none"/>
          <w:shd w:val="clear" w:color="auto" w:fill="FFFFFF"/>
          <w:lang w:val="en-US" w:eastAsia="zh-CN"/>
        </w:rPr>
        <w:t>所有品种</w:t>
      </w:r>
      <w:r>
        <w:rPr>
          <w:rFonts w:hint="eastAsia" w:ascii="仿宋_GB2312" w:hAnsi="仿宋_GB2312" w:eastAsia="仿宋_GB2312" w:cs="仿宋_GB2312"/>
          <w:color w:val="auto"/>
          <w:sz w:val="32"/>
          <w:szCs w:val="32"/>
          <w:highlight w:val="none"/>
          <w:u w:val="none"/>
          <w:shd w:val="clear" w:color="auto" w:fill="FFFFFF"/>
          <w:lang w:val="en-US" w:eastAsia="zh-CN"/>
        </w:rPr>
        <w:t>进行报价，价格单位为“</w:t>
      </w:r>
      <w:r>
        <w:rPr>
          <w:rFonts w:hint="eastAsia" w:ascii="仿宋_GB2312" w:hAnsi="仿宋_GB2312" w:eastAsia="仿宋_GB2312" w:cs="仿宋_GB2312"/>
          <w:b/>
          <w:bCs/>
          <w:color w:val="auto"/>
          <w:sz w:val="32"/>
          <w:szCs w:val="32"/>
          <w:highlight w:val="none"/>
          <w:u w:val="none"/>
          <w:shd w:val="clear" w:color="auto" w:fill="FFFFFF"/>
          <w:lang w:val="en-US" w:eastAsia="zh-CN"/>
        </w:rPr>
        <w:t>元</w:t>
      </w:r>
      <w:r>
        <w:rPr>
          <w:rFonts w:hint="eastAsia" w:ascii="仿宋_GB2312" w:hAnsi="仿宋_GB2312" w:eastAsia="仿宋_GB2312" w:cs="仿宋_GB2312"/>
          <w:color w:val="auto"/>
          <w:sz w:val="32"/>
          <w:szCs w:val="32"/>
          <w:highlight w:val="none"/>
          <w:u w:val="none"/>
          <w:shd w:val="clear" w:color="auto" w:fill="FFFFFF"/>
          <w:lang w:val="en-US" w:eastAsia="zh-CN"/>
        </w:rPr>
        <w:t>”，保留小数点后4位。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pP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（二）申报价格为实际供应价，应包含但不限于税费、配送费、标准品及伴随服务等在内的相关费用。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olor w:val="auto"/>
          <w:sz w:val="32"/>
          <w:szCs w:val="32"/>
          <w:shd w:val="clear" w:color="auto" w:fill="FFFFFF"/>
          <w:lang w:val="en-US" w:eastAsia="zh-CN"/>
        </w:rPr>
      </w:pP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（三）</w:t>
      </w:r>
      <w:r>
        <w:rPr>
          <w:rFonts w:hint="eastAsia" w:ascii="仿宋_GB2312" w:hAnsi="仿宋_GB2312" w:eastAsia="仿宋_GB2312" w:cs="仿宋_GB2312"/>
          <w:color w:val="auto"/>
          <w:sz w:val="32"/>
          <w:szCs w:val="32"/>
          <w:highlight w:val="none"/>
        </w:rPr>
        <w:t>存在关联关系的企业，可同时投标，分别提交申报信息</w:t>
      </w:r>
      <w:r>
        <w:rPr>
          <w:rFonts w:hint="eastAsia" w:ascii="仿宋_GB2312" w:hAnsi="仿宋_GB2312" w:eastAsia="仿宋_GB2312" w:cs="仿宋_GB2312"/>
          <w:color w:val="auto"/>
          <w:sz w:val="32"/>
          <w:szCs w:val="32"/>
          <w:highlight w:val="none"/>
          <w:lang w:eastAsia="zh-CN"/>
        </w:rPr>
        <w:t>。</w:t>
      </w:r>
    </w:p>
    <w:p>
      <w:pPr>
        <w:pStyle w:val="2"/>
        <w:pageBreakBefore w:val="0"/>
        <w:numPr>
          <w:ilvl w:val="-1"/>
          <w:numId w:val="0"/>
        </w:numPr>
        <w:kinsoku/>
        <w:overflowPunct/>
        <w:topLinePunct w:val="0"/>
        <w:bidi w:val="0"/>
        <w:snapToGrid/>
        <w:spacing w:line="600" w:lineRule="exact"/>
        <w:ind w:firstLine="64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医疗器械注册人为同一实际控制人或存在控股关系，委托同一家企业申报，视为一家申报企业，提交一份唯一报价的申报材料；</w:t>
      </w:r>
    </w:p>
    <w:p>
      <w:pPr>
        <w:pStyle w:val="2"/>
        <w:pageBreakBefore w:val="0"/>
        <w:numPr>
          <w:ilvl w:val="-1"/>
          <w:numId w:val="0"/>
        </w:numPr>
        <w:kinsoku/>
        <w:overflowPunct/>
        <w:topLinePunct w:val="0"/>
        <w:bidi w:val="0"/>
        <w:snapToGrid/>
        <w:spacing w:line="600" w:lineRule="exact"/>
        <w:ind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医疗器械注册人为同一实际控制人或存在控股关系，未委托同一家企业申报，则视为多家申报企业，</w:t>
      </w:r>
      <w:r>
        <w:rPr>
          <w:rFonts w:hint="eastAsia" w:ascii="仿宋_GB2312" w:hAnsi="仿宋_GB2312" w:eastAsia="仿宋_GB2312" w:cs="仿宋_GB2312"/>
          <w:color w:val="auto"/>
          <w:sz w:val="32"/>
          <w:szCs w:val="32"/>
          <w:highlight w:val="none"/>
        </w:rPr>
        <w:t>分别提交申报信息，分别计算有效申报企业数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报价时既可</w:t>
      </w:r>
      <w:r>
        <w:rPr>
          <w:rFonts w:hint="eastAsia" w:ascii="仿宋_GB2312" w:hAnsi="仿宋_GB2312" w:eastAsia="仿宋_GB2312" w:cs="仿宋_GB2312"/>
          <w:color w:val="auto"/>
          <w:sz w:val="32"/>
          <w:szCs w:val="32"/>
          <w:highlight w:val="none"/>
        </w:rPr>
        <w:t>同一价格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也可不同价格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若价格不同，</w:t>
      </w:r>
      <w:r>
        <w:rPr>
          <w:rFonts w:hint="eastAsia" w:ascii="仿宋_GB2312" w:hAnsi="仿宋_GB2312" w:eastAsia="仿宋_GB2312" w:cs="仿宋_GB2312"/>
          <w:color w:val="auto"/>
          <w:sz w:val="32"/>
          <w:szCs w:val="32"/>
          <w:highlight w:val="none"/>
          <w:lang w:val="en-US" w:eastAsia="zh-CN"/>
        </w:rPr>
        <w:t>最低</w:t>
      </w:r>
      <w:r>
        <w:rPr>
          <w:rFonts w:hint="eastAsia" w:ascii="仿宋_GB2312" w:hAnsi="仿宋_GB2312" w:eastAsia="仿宋_GB2312" w:cs="仿宋_GB2312"/>
          <w:color w:val="auto"/>
          <w:sz w:val="32"/>
          <w:szCs w:val="32"/>
          <w:highlight w:val="none"/>
        </w:rPr>
        <w:t>价格</w:t>
      </w:r>
      <w:r>
        <w:rPr>
          <w:rFonts w:hint="eastAsia" w:ascii="仿宋_GB2312" w:hAnsi="仿宋_GB2312" w:eastAsia="仿宋_GB2312" w:cs="仿宋_GB2312"/>
          <w:color w:val="auto"/>
          <w:sz w:val="32"/>
          <w:szCs w:val="32"/>
          <w:highlight w:val="none"/>
          <w:lang w:val="en-US" w:eastAsia="zh-CN"/>
        </w:rPr>
        <w:t>视为所有关联申报企业的</w:t>
      </w:r>
      <w:r>
        <w:rPr>
          <w:rFonts w:hint="eastAsia" w:ascii="仿宋_GB2312" w:hAnsi="仿宋_GB2312" w:eastAsia="仿宋_GB2312" w:cs="仿宋_GB2312"/>
          <w:color w:val="auto"/>
          <w:sz w:val="32"/>
          <w:szCs w:val="32"/>
          <w:highlight w:val="none"/>
        </w:rPr>
        <w:t>有效申报价格。若中选，各企业独立计算中选名额。</w:t>
      </w:r>
    </w:p>
    <w:p>
      <w:pPr>
        <w:pStyle w:val="2"/>
        <w:pageBreakBefore w:val="0"/>
        <w:kinsoku/>
        <w:overflowPunct/>
        <w:topLinePunct w:val="0"/>
        <w:bidi w:val="0"/>
        <w:snapToGrid/>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医疗器械注册人非同一实际控制人且不存在控股关系，委托同一家企业申报，视为不同申报企业，应分别提交申报材料。</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Times New Roman" w:eastAsia="仿宋_GB2312"/>
          <w:color w:val="auto"/>
          <w:sz w:val="32"/>
          <w:szCs w:val="32"/>
          <w:shd w:val="clear" w:color="auto" w:fill="FFFFFF"/>
          <w:lang w:val="en-US" w:eastAsia="zh-CN"/>
        </w:rPr>
        <w:t>（四</w:t>
      </w:r>
      <w:r>
        <w:rPr>
          <w:rFonts w:hint="eastAsia" w:ascii="仿宋_GB2312" w:hAnsi="Times New Roman" w:eastAsia="仿宋_GB2312"/>
          <w:color w:val="auto"/>
          <w:sz w:val="32"/>
          <w:szCs w:val="32"/>
          <w:highlight w:val="none"/>
          <w:shd w:val="clear" w:color="auto" w:fill="FFFFFF"/>
          <w:lang w:val="en-US" w:eastAsia="zh-CN"/>
        </w:rPr>
        <w:t>）</w:t>
      </w: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申报价格高于最高有效申报价或者申报价格为空、</w:t>
      </w:r>
      <w:r>
        <w:rPr>
          <w:rFonts w:hint="eastAsia" w:ascii="仿宋_GB2312" w:hAnsi="Times New Roman" w:eastAsia="仿宋_GB2312"/>
          <w:color w:val="auto"/>
          <w:sz w:val="32"/>
          <w:szCs w:val="32"/>
          <w:shd w:val="clear" w:color="auto" w:fill="FFFFFF"/>
          <w:lang w:val="en-US" w:eastAsia="zh-CN"/>
        </w:rPr>
        <w:t>为零的，均为无效报价。</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shd w:val="clear" w:color="auto" w:fill="FFFFFF"/>
          <w:lang w:val="en-US" w:eastAsia="zh-CN" w:bidi="ar-SA"/>
          <w14:textFill>
            <w14:solidFill>
              <w14:schemeClr w14:val="tx1"/>
            </w14:solidFill>
          </w14:textFill>
        </w:rPr>
        <w:t>（五）在</w:t>
      </w:r>
      <w:r>
        <w:rPr>
          <w:rFonts w:hint="eastAsia" w:ascii="仿宋_GB2312" w:hAnsi="仿宋_GB2312" w:eastAsia="仿宋_GB2312" w:cs="仿宋_GB2312"/>
          <w:color w:val="000000" w:themeColor="text1"/>
          <w:kern w:val="2"/>
          <w:sz w:val="32"/>
          <w:szCs w:val="32"/>
          <w:shd w:val="clear" w:color="auto" w:fill="FFFFFF"/>
          <w:lang w:val="en-US" w:eastAsia="zh-CN" w:bidi="ar-SA"/>
          <w14:textFill>
            <w14:solidFill>
              <w14:schemeClr w14:val="tx1"/>
            </w14:solidFill>
          </w14:textFill>
        </w:rPr>
        <w:t>规定时间内未申报或申报错误的，申报结束后不得补报或修改，由此引起的一切后</w:t>
      </w: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果由申报企业自行负责。</w:t>
      </w:r>
    </w:p>
    <w:p>
      <w:pPr>
        <w:pStyle w:val="4"/>
        <w:keepNext/>
        <w:keepLines/>
        <w:pageBreakBefore w:val="0"/>
        <w:widowControl w:val="0"/>
        <w:kinsoku/>
        <w:wordWrap/>
        <w:overflowPunct/>
        <w:topLinePunct w:val="0"/>
        <w:autoSpaceDE/>
        <w:autoSpaceDN/>
        <w:bidi w:val="0"/>
        <w:adjustRightInd/>
        <w:snapToGrid/>
        <w:spacing w:before="260" w:beforeLines="0" w:after="260" w:afterLines="0" w:line="560" w:lineRule="exact"/>
        <w:ind w:left="0" w:leftChars="0" w:right="0" w:rightChars="0" w:firstLine="643" w:firstLineChars="200"/>
        <w:jc w:val="both"/>
        <w:textAlignment w:val="auto"/>
        <w:outlineLvl w:val="1"/>
        <w:rPr>
          <w:rFonts w:hint="eastAsia"/>
          <w:color w:val="000000" w:themeColor="text1"/>
          <w:lang w:val="en-US" w:eastAsia="zh-CN"/>
          <w14:textFill>
            <w14:solidFill>
              <w14:schemeClr w14:val="tx1"/>
            </w14:solidFill>
          </w14:textFill>
        </w:rPr>
      </w:pPr>
      <w:bookmarkStart w:id="179" w:name="_Toc15140"/>
      <w:r>
        <w:rPr>
          <w:rFonts w:hint="eastAsia"/>
          <w:color w:val="000000" w:themeColor="text1"/>
          <w:lang w:val="en-US" w:eastAsia="zh-CN"/>
          <w14:textFill>
            <w14:solidFill>
              <w14:schemeClr w14:val="tx1"/>
            </w14:solidFill>
          </w14:textFill>
        </w:rPr>
        <w:br w:type="page"/>
      </w:r>
    </w:p>
    <w:p>
      <w:pPr>
        <w:pStyle w:val="3"/>
        <w:spacing w:line="560" w:lineRule="exact"/>
        <w:jc w:val="center"/>
        <w:rPr>
          <w:rFonts w:hint="eastAsia" w:ascii="方正公文小标宋" w:hAnsi="方正公文小标宋" w:eastAsia="方正公文小标宋" w:cs="方正公文小标宋"/>
          <w:b w:val="0"/>
          <w:bCs/>
          <w:lang w:val="en-US" w:eastAsia="zh-CN"/>
        </w:rPr>
      </w:pPr>
      <w:bookmarkStart w:id="180" w:name="_Toc20664"/>
      <w:bookmarkStart w:id="181" w:name="_Toc4618"/>
      <w:bookmarkStart w:id="182" w:name="_Toc13811"/>
      <w:bookmarkStart w:id="183" w:name="_Toc20533"/>
      <w:bookmarkStart w:id="184" w:name="_Toc16664"/>
      <w:bookmarkStart w:id="185" w:name="_Toc22723"/>
      <w:bookmarkStart w:id="186" w:name="_Toc11754"/>
      <w:bookmarkStart w:id="187" w:name="_Toc24426"/>
      <w:bookmarkStart w:id="188" w:name="_Toc20760"/>
      <w:bookmarkStart w:id="189" w:name="_Toc22947"/>
      <w:bookmarkStart w:id="190" w:name="_Toc25878"/>
      <w:bookmarkStart w:id="191" w:name="_Toc23721"/>
      <w:r>
        <w:rPr>
          <w:rFonts w:hint="eastAsia" w:ascii="方正公文小标宋" w:hAnsi="方正公文小标宋" w:eastAsia="方正公文小标宋" w:cs="方正公文小标宋"/>
          <w:b w:val="0"/>
          <w:bCs/>
          <w:lang w:val="en-US" w:eastAsia="zh-CN"/>
        </w:rPr>
        <w:t>第三部分 竞价和磋商撮合规则</w:t>
      </w:r>
      <w:bookmarkEnd w:id="180"/>
      <w:bookmarkEnd w:id="181"/>
      <w:bookmarkEnd w:id="182"/>
      <w:bookmarkEnd w:id="183"/>
      <w:bookmarkEnd w:id="184"/>
      <w:bookmarkEnd w:id="185"/>
      <w:bookmarkEnd w:id="186"/>
      <w:bookmarkEnd w:id="187"/>
      <w:bookmarkEnd w:id="188"/>
      <w:bookmarkEnd w:id="189"/>
      <w:bookmarkEnd w:id="190"/>
      <w:bookmarkEnd w:id="191"/>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color w:val="000000" w:themeColor="text1"/>
          <w:lang w:val="en-US" w:eastAsia="zh-CN"/>
          <w14:textFill>
            <w14:solidFill>
              <w14:schemeClr w14:val="tx1"/>
            </w14:solidFill>
          </w14:textFill>
        </w:rPr>
      </w:pPr>
      <w:bookmarkStart w:id="192" w:name="_Toc7442"/>
      <w:bookmarkStart w:id="193" w:name="_Toc6756"/>
      <w:bookmarkStart w:id="194" w:name="_Toc12308"/>
      <w:bookmarkStart w:id="195" w:name="_Toc25365"/>
      <w:bookmarkStart w:id="196" w:name="_Toc7959"/>
      <w:bookmarkStart w:id="197" w:name="_Toc15295"/>
      <w:bookmarkStart w:id="198" w:name="_Toc20462"/>
      <w:bookmarkStart w:id="199" w:name="_Toc17973"/>
      <w:bookmarkStart w:id="200" w:name="_Toc26907"/>
      <w:bookmarkStart w:id="201" w:name="_Toc13992"/>
      <w:bookmarkStart w:id="202" w:name="_Toc4932"/>
      <w:bookmarkStart w:id="203" w:name="_Toc24206"/>
      <w:r>
        <w:rPr>
          <w:rFonts w:hint="eastAsia"/>
          <w:b w:val="0"/>
          <w:bCs/>
          <w:color w:val="000000" w:themeColor="text1"/>
          <w:lang w:val="en-US" w:eastAsia="zh-CN"/>
          <w14:textFill>
            <w14:solidFill>
              <w14:schemeClr w14:val="tx1"/>
            </w14:solidFill>
          </w14:textFill>
        </w:rPr>
        <w:t>一、成立磋商撮合专家组</w:t>
      </w:r>
      <w:bookmarkEnd w:id="179"/>
      <w:bookmarkEnd w:id="192"/>
      <w:bookmarkEnd w:id="193"/>
      <w:bookmarkEnd w:id="194"/>
      <w:bookmarkEnd w:id="195"/>
      <w:bookmarkEnd w:id="196"/>
      <w:bookmarkEnd w:id="197"/>
      <w:bookmarkEnd w:id="198"/>
      <w:bookmarkEnd w:id="199"/>
      <w:bookmarkEnd w:id="200"/>
      <w:bookmarkEnd w:id="201"/>
      <w:bookmarkEnd w:id="202"/>
      <w:bookmarkEnd w:id="20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甘肃省医疗保障局组织省、市、县临床专家和检验专家组成磋商撮合专家组，代表全省医疗机构与申报企业进行带量采购磋商撮合。</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b w:val="0"/>
          <w:bCs/>
          <w:color w:val="000000" w:themeColor="text1"/>
          <w:lang w:val="en-US" w:eastAsia="zh-CN"/>
          <w14:textFill>
            <w14:solidFill>
              <w14:schemeClr w14:val="tx1"/>
            </w14:solidFill>
          </w14:textFill>
        </w:rPr>
      </w:pPr>
      <w:bookmarkStart w:id="204" w:name="_Toc28810"/>
      <w:bookmarkStart w:id="205" w:name="_Toc31092"/>
      <w:bookmarkStart w:id="206" w:name="_Toc1628"/>
      <w:bookmarkStart w:id="207" w:name="_Toc3632"/>
      <w:bookmarkStart w:id="208" w:name="_Toc4248"/>
      <w:bookmarkStart w:id="209" w:name="_Toc9776"/>
      <w:bookmarkStart w:id="210" w:name="_Toc807"/>
      <w:bookmarkStart w:id="211" w:name="_Toc19800"/>
      <w:bookmarkStart w:id="212" w:name="_Toc30707"/>
      <w:bookmarkStart w:id="213" w:name="_Toc23428"/>
      <w:bookmarkStart w:id="214" w:name="_Toc31673"/>
      <w:bookmarkStart w:id="215" w:name="_Toc31699"/>
      <w:bookmarkStart w:id="216" w:name="_Toc17104"/>
      <w:r>
        <w:rPr>
          <w:rFonts w:hint="eastAsia"/>
          <w:b w:val="0"/>
          <w:bCs/>
          <w:color w:val="000000" w:themeColor="text1"/>
          <w:lang w:val="en-US" w:eastAsia="zh-CN"/>
          <w14:textFill>
            <w14:solidFill>
              <w14:schemeClr w14:val="tx1"/>
            </w14:solidFill>
          </w14:textFill>
        </w:rPr>
        <w:t>二、拟中选企业</w:t>
      </w:r>
      <w:bookmarkEnd w:id="204"/>
      <w:r>
        <w:rPr>
          <w:rFonts w:hint="eastAsia"/>
          <w:b w:val="0"/>
          <w:bCs/>
          <w:color w:val="000000" w:themeColor="text1"/>
          <w:lang w:val="en-US" w:eastAsia="zh-CN"/>
          <w14:textFill>
            <w14:solidFill>
              <w14:schemeClr w14:val="tx1"/>
            </w14:solidFill>
          </w14:textFill>
        </w:rPr>
        <w:t>确定</w:t>
      </w:r>
      <w:bookmarkEnd w:id="205"/>
      <w:bookmarkEnd w:id="206"/>
      <w:bookmarkEnd w:id="207"/>
      <w:bookmarkEnd w:id="208"/>
      <w:bookmarkEnd w:id="209"/>
      <w:bookmarkEnd w:id="210"/>
      <w:bookmarkEnd w:id="211"/>
      <w:bookmarkEnd w:id="212"/>
      <w:bookmarkEnd w:id="213"/>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（一）竞价（100分）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1.经济技术标评分标准（50分）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（1）网采情况统计（30分）：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以招采子系统</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带量采购品种的总配送金额和医疗机构网采数量为依据。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网采金额（15分）：采购金额≥1500万元，得15分;1000万元≤采购金额&lt;1500万元，得12分;500万元≤采购金额&lt;1000万元，得9分;100万元≤采购金额&lt;500万元，得6分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0&lt;配送金额&lt;100万元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，得4分；在甘无有效交易的企业，得3分。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医疗机构网采数（15分）：我省三级公立综合性医院1家采购得3分，每增加1家，加1分，最高得8分；二级及以下公立综合性医院1家采购得2分，每增加1家，加1分，最高得7分；</w:t>
      </w:r>
      <w:r>
        <w:rPr>
          <w:rFonts w:hint="eastAsia" w:ascii="仿宋_GB2312" w:hAnsi="仿宋_GB2312" w:eastAsia="仿宋_GB2312" w:cs="仿宋_GB2312"/>
          <w:color w:val="000000" w:themeColor="text1"/>
          <w:sz w:val="32"/>
          <w:szCs w:val="32"/>
          <w14:textFill>
            <w14:solidFill>
              <w14:schemeClr w14:val="tx1"/>
            </w14:solidFill>
          </w14:textFill>
        </w:rPr>
        <w:t>累计加分。</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在甘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无有效交易的企业得1分。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（2）保障供应（15分）：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申报采购品种满9项，得9分，每少一项减1分；申报产品所有产品最短有效期≥12个月的，得6分；8个月</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申报品所有产品最短有效期</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&lt;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12个月的，得4分；其余得2分。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（3）企业认证体系及安全性评价（5分）：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pP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通过ISO13485质量体系认证或通过ISO9001质量管理体系认证，得1分；参与国家卫健委临床检验中心室间质评计划，得1分；具备医学参考实验室且获得CNAS认证（或国际同类相关认证），得1分；具备对有证参考物质的赋值能力，得1分；提供具备注册证的校准品并提供“靶值”和“不确定度”，得0.5分；提供产品溯源性文件，得0.5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2.价格得分（50分）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申报价格不高于最高有效申报价为有效申报价。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pP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An=每个采购品种的最低有效申报</w:t>
      </w:r>
      <w:bookmarkStart w:id="316" w:name="_GoBack"/>
      <w:bookmarkEnd w:id="316"/>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价</w:t>
      </w:r>
    </w:p>
    <w:p>
      <w:pPr>
        <w:pStyle w:val="2"/>
        <w:spacing w:line="560" w:lineRule="exact"/>
        <w:ind w:firstLine="640" w:firstLineChars="200"/>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pP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An</w:t>
      </w:r>
      <w:r>
        <w:rPr>
          <w:rFonts w:hint="eastAsia" w:ascii="微软雅黑" w:hAnsi="微软雅黑" w:eastAsia="微软雅黑" w:cs="微软雅黑"/>
          <w:sz w:val="32"/>
          <w:szCs w:val="32"/>
        </w:rPr>
        <w:t>′</w:t>
      </w: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=每个采购品种的企业有效申报价</w:t>
      </w:r>
    </w:p>
    <w:p>
      <w:pPr>
        <w:pStyle w:val="2"/>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磋商撮合专家组根据每个采购品种所有企业的有效申报价确定每个</w:t>
      </w: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采购品种的最低有效申报价（An）</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。经判定，如企业有效申报价低于多数有效申报价且相差较大，该品种</w:t>
      </w: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An/An</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，但不纳入该</w:t>
      </w: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t>品种的最低有效申报价</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pStyle w:val="2"/>
        <w:spacing w:line="560" w:lineRule="exact"/>
        <w:ind w:firstLine="640" w:firstLineChars="200"/>
        <w:rPr>
          <w:rFonts w:hint="eastAsia" w:ascii="仿宋_GB2312" w:hAnsi="仿宋_GB2312" w:eastAsia="仿宋_GB2312" w:cs="仿宋_GB2312"/>
          <w:color w:val="000000" w:themeColor="text1"/>
          <w:kern w:val="2"/>
          <w:position w:val="-1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价格得分公式如下：</w:t>
      </w:r>
      <w:r>
        <w:rPr>
          <w:rFonts w:hint="eastAsia" w:ascii="仿宋_GB2312" w:hAnsi="仿宋_GB2312" w:eastAsia="仿宋_GB2312" w:cs="仿宋_GB2312"/>
          <w:color w:val="000000" w:themeColor="text1"/>
          <w:kern w:val="2"/>
          <w:position w:val="-10"/>
          <w:sz w:val="32"/>
          <w:szCs w:val="32"/>
          <w:lang w:val="en-US" w:eastAsia="zh-CN" w:bidi="ar-SA"/>
          <w14:textFill>
            <w14:solidFill>
              <w14:schemeClr w14:val="tx1"/>
            </w14:solidFill>
          </w14:textFill>
        </w:rPr>
        <w:object>
          <v:shape id="_x0000_i1025" o:spt="75" type="#_x0000_t75" style="height:17pt;width:9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p>
    <w:p>
      <w:pPr>
        <w:pStyle w:val="2"/>
        <w:spacing w:line="560" w:lineRule="exact"/>
        <w:ind w:firstLine="640" w:firstLineChars="200"/>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2"/>
          <w:position w:val="-10"/>
          <w:sz w:val="32"/>
          <w:szCs w:val="32"/>
          <w:lang w:val="en-US" w:eastAsia="zh-CN" w:bidi="ar-SA"/>
          <w14:textFill>
            <w14:solidFill>
              <w14:schemeClr w14:val="tx1"/>
            </w14:solidFill>
          </w14:textFill>
        </w:rPr>
        <w:pict>
          <v:shape id="_x0000_s1032" o:spid="_x0000_s1032" o:spt="75" type="#_x0000_t75" style="position:absolute;left:0pt;margin-left:33.35pt;margin-top:6.95pt;height:81.1pt;width:347.5pt;z-index:-251655168;mso-width-relative:page;mso-height-relative:page;" o:ole="t" filled="f" o:preferrelative="t" stroked="f" coordsize="21600,21600">
            <v:path/>
            <v:fill on="f" focussize="0,0"/>
            <v:stroke on="f"/>
            <v:imagedata r:id="rId10" o:title=""/>
            <o:lock v:ext="edit" aspectratio="t"/>
          </v:shape>
          <o:OLEObject Type="Embed" ProgID="Equation.KSEE3" ShapeID="_x0000_s1032" DrawAspect="Content" ObjectID="_1468075726" r:id="rId9">
            <o:LockedField>false</o:LockedField>
          </o:OLEObject>
        </w:pict>
      </w:r>
      <w:r>
        <w:rPr>
          <w:rFonts w:hint="eastAsia" w:ascii="仿宋_GB2312" w:hAnsi="Times New Roman" w:eastAsia="仿宋_GB2312"/>
          <w:color w:val="000000" w:themeColor="text1"/>
          <w:sz w:val="32"/>
          <w:szCs w:val="32"/>
          <w:shd w:val="clear" w:color="auto" w:fill="FFFFFF"/>
          <w:lang w:val="en-US" w:eastAsia="zh-CN"/>
          <w14:textFill>
            <w14:solidFill>
              <w14:schemeClr w14:val="tx1"/>
            </w14:solidFill>
          </w14:textFill>
        </w:rPr>
        <w:br w:type="page"/>
      </w:r>
    </w:p>
    <w:p>
      <w:pPr>
        <w:jc w:val="center"/>
        <w:rPr>
          <w:rFonts w:hint="eastAsia"/>
          <w:b/>
          <w:bCs/>
          <w:color w:val="000000" w:themeColor="text1"/>
          <w:sz w:val="36"/>
          <w:szCs w:val="44"/>
          <w:lang w:val="en-US" w:eastAsia="zh-CN"/>
          <w14:textFill>
            <w14:solidFill>
              <w14:schemeClr w14:val="tx1"/>
            </w14:solidFill>
          </w14:textFill>
        </w:rPr>
      </w:pPr>
      <w:r>
        <w:rPr>
          <w:rFonts w:hint="eastAsia"/>
          <w:b/>
          <w:bCs/>
          <w:color w:val="000000" w:themeColor="text1"/>
          <w:sz w:val="36"/>
          <w:szCs w:val="44"/>
          <w:lang w:val="en-US" w:eastAsia="zh-CN"/>
          <w14:textFill>
            <w14:solidFill>
              <w14:schemeClr w14:val="tx1"/>
            </w14:solidFill>
          </w14:textFill>
        </w:rPr>
        <w:t>经济技术标评分标准</w:t>
      </w:r>
    </w:p>
    <w:tbl>
      <w:tblPr>
        <w:tblStyle w:val="21"/>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791"/>
        <w:gridCol w:w="969"/>
        <w:gridCol w:w="707"/>
        <w:gridCol w:w="3704"/>
        <w:gridCol w:w="843"/>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6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22"/>
                <w:szCs w:val="22"/>
                <w:lang w:val="en-US" w:eastAsia="zh-CN" w:bidi="ar-SA"/>
                <w14:textFill>
                  <w14:solidFill>
                    <w14:schemeClr w14:val="tx1"/>
                  </w14:solidFill>
                </w14:textFill>
              </w:rPr>
              <w:t>名称</w:t>
            </w:r>
          </w:p>
        </w:tc>
        <w:tc>
          <w:tcPr>
            <w:tcW w:w="176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22"/>
                <w:szCs w:val="22"/>
                <w:lang w:val="en-US" w:eastAsia="zh-CN" w:bidi="ar-SA"/>
                <w14:textFill>
                  <w14:solidFill>
                    <w14:schemeClr w14:val="tx1"/>
                  </w14:solidFill>
                </w14:textFill>
              </w:rPr>
              <w:t>项目</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22"/>
                <w:szCs w:val="22"/>
                <w:lang w:val="en-US" w:eastAsia="zh-CN" w:bidi="ar-SA"/>
                <w14:textFill>
                  <w14:solidFill>
                    <w14:schemeClr w14:val="tx1"/>
                  </w14:solidFill>
                </w14:textFill>
              </w:rPr>
              <w:t>分值</w:t>
            </w:r>
          </w:p>
        </w:tc>
        <w:tc>
          <w:tcPr>
            <w:tcW w:w="370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22"/>
                <w:szCs w:val="22"/>
                <w:lang w:val="en-US" w:eastAsia="zh-CN" w:bidi="ar-SA"/>
                <w14:textFill>
                  <w14:solidFill>
                    <w14:schemeClr w14:val="tx1"/>
                  </w14:solidFill>
                </w14:textFill>
              </w:rPr>
              <w:t>要求</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22"/>
                <w:szCs w:val="22"/>
                <w:lang w:val="en-US" w:eastAsia="zh-CN" w:bidi="ar-SA"/>
                <w14:textFill>
                  <w14:solidFill>
                    <w14:schemeClr w14:val="tx1"/>
                  </w14:solidFill>
                </w14:textFill>
              </w:rPr>
              <w:t>评分标准</w:t>
            </w:r>
          </w:p>
        </w:tc>
        <w:tc>
          <w:tcPr>
            <w:tcW w:w="195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22"/>
                <w:szCs w:val="22"/>
                <w:lang w:val="en-US" w:eastAsia="zh-CN" w:bidi="ar-SA"/>
                <w14:textFill>
                  <w14:solidFill>
                    <w14:schemeClr w14:val="tx1"/>
                  </w14:solidFill>
                </w14:textFill>
              </w:rPr>
              <w:t>佐证材料要求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69" w:type="dxa"/>
            <w:vMerge w:val="restart"/>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经济技术标评分标准（50分）</w:t>
            </w:r>
          </w:p>
        </w:tc>
        <w:tc>
          <w:tcPr>
            <w:tcW w:w="791" w:type="dxa"/>
            <w:vMerge w:val="restart"/>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网采情况统计</w:t>
            </w:r>
          </w:p>
        </w:tc>
        <w:tc>
          <w:tcPr>
            <w:tcW w:w="969" w:type="dxa"/>
            <w:vMerge w:val="restart"/>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网采金额</w:t>
            </w:r>
          </w:p>
        </w:tc>
        <w:tc>
          <w:tcPr>
            <w:tcW w:w="707" w:type="dxa"/>
            <w:vMerge w:val="restart"/>
            <w:vAlign w:val="center"/>
          </w:tcPr>
          <w:p>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配送金额≥1500万元</w:t>
            </w:r>
          </w:p>
        </w:tc>
        <w:tc>
          <w:tcPr>
            <w:tcW w:w="843" w:type="dxa"/>
            <w:vAlign w:val="center"/>
          </w:tcPr>
          <w:p>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1956" w:type="dxa"/>
            <w:vMerge w:val="restart"/>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以招采子系统2023年1月1日-2023年12月31日带量采购品种的总配送金额和医疗机构网采情况为依据。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91"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69"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1000万元≤配送金额&lt;1500万元</w:t>
            </w:r>
          </w:p>
        </w:tc>
        <w:tc>
          <w:tcPr>
            <w:tcW w:w="843"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91"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69"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500万元≤配送金额&lt;1000万元</w:t>
            </w:r>
          </w:p>
        </w:tc>
        <w:tc>
          <w:tcPr>
            <w:tcW w:w="843"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91"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69"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100万元≤配送金额&lt;500万元</w:t>
            </w:r>
          </w:p>
        </w:tc>
        <w:tc>
          <w:tcPr>
            <w:tcW w:w="843" w:type="dxa"/>
            <w:vAlign w:val="center"/>
          </w:tcPr>
          <w:p>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91"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69"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&lt;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配送金额&lt;100万元</w:t>
            </w:r>
          </w:p>
        </w:tc>
        <w:tc>
          <w:tcPr>
            <w:tcW w:w="843"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91"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69"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在甘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无有效交易的企业</w:t>
            </w:r>
          </w:p>
        </w:tc>
        <w:tc>
          <w:tcPr>
            <w:tcW w:w="843"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91"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69"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医疗机构网采数</w:t>
            </w:r>
          </w:p>
        </w:tc>
        <w:tc>
          <w:tcPr>
            <w:tcW w:w="707" w:type="dxa"/>
            <w:vAlign w:val="center"/>
          </w:tcPr>
          <w:p>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我省三级公立综合性医院1家采购得3分，每增加1家，加1分，最高得8分；二级及以下公立综合性医院1家采购得2分，每增加1家，加1分，最高得7分；累计加分。</w:t>
            </w:r>
            <w:r>
              <w:rPr>
                <w:rFonts w:hint="eastAsia" w:ascii="仿宋_GB2312" w:hAnsi="仿宋_GB2312" w:eastAsia="仿宋_GB2312" w:cs="仿宋_GB2312"/>
                <w:color w:val="000000" w:themeColor="text1"/>
                <w:sz w:val="24"/>
                <w14:textFill>
                  <w14:solidFill>
                    <w14:schemeClr w14:val="tx1"/>
                  </w14:solidFill>
                </w14:textFill>
              </w:rPr>
              <w:t>在甘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无有效交易的企业得1分</w:t>
            </w:r>
          </w:p>
        </w:tc>
        <w:tc>
          <w:tcPr>
            <w:tcW w:w="843"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760" w:type="dxa"/>
            <w:gridSpan w:val="2"/>
            <w:vMerge w:val="restart"/>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保障供应</w:t>
            </w:r>
          </w:p>
        </w:tc>
        <w:tc>
          <w:tcPr>
            <w:tcW w:w="707" w:type="dxa"/>
            <w:vMerge w:val="restart"/>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申报采购品种满9项，得9分，每少一项减1分</w:t>
            </w:r>
          </w:p>
        </w:tc>
        <w:tc>
          <w:tcPr>
            <w:tcW w:w="843" w:type="dxa"/>
            <w:vAlign w:val="center"/>
          </w:tcPr>
          <w:p>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w:t>
            </w:r>
          </w:p>
        </w:tc>
        <w:tc>
          <w:tcPr>
            <w:tcW w:w="1956" w:type="dxa"/>
            <w:vMerge w:val="restart"/>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本次甲状腺激素检测试剂（化学发光法）品种数和申报产品有效期。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760" w:type="dxa"/>
            <w:gridSpan w:val="2"/>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申报产品所有产品最短有效期≥12个月的，得6分；8个月≤申报品所有产品最短有效期&lt;12个月的，得4分；其余得2分</w:t>
            </w:r>
          </w:p>
        </w:tc>
        <w:tc>
          <w:tcPr>
            <w:tcW w:w="843"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760" w:type="dxa"/>
            <w:gridSpan w:val="2"/>
            <w:vMerge w:val="restart"/>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企业认证体系及安全性评价</w:t>
            </w:r>
          </w:p>
        </w:tc>
        <w:tc>
          <w:tcPr>
            <w:tcW w:w="707" w:type="dxa"/>
            <w:vMerge w:val="restart"/>
            <w:vAlign w:val="center"/>
          </w:tcPr>
          <w:p>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通过ISO13485质量体系认证或通过ISO9001质量管理体系认证</w:t>
            </w:r>
          </w:p>
        </w:tc>
        <w:tc>
          <w:tcPr>
            <w:tcW w:w="843"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956" w:type="dxa"/>
            <w:vMerge w:val="restart"/>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申报企业应在子系统中上传提供各种证书（复印件须加盖公章），如为外文材料，应附有中文翻译内容，</w:t>
            </w:r>
            <w:r>
              <w:rPr>
                <w:rFonts w:hint="eastAsia" w:ascii="仿宋_GB2312" w:hAnsi="Times New Roman" w:eastAsia="仿宋_GB2312"/>
                <w:color w:val="000000" w:themeColor="text1"/>
                <w:sz w:val="24"/>
                <w:szCs w:val="24"/>
                <w:shd w:val="clear" w:color="auto" w:fill="FFFFFF"/>
                <w:lang w:val="en-US" w:eastAsia="zh-CN"/>
                <w14:textFill>
                  <w14:solidFill>
                    <w14:schemeClr w14:val="tx1"/>
                  </w14:solidFill>
                </w14:textFill>
              </w:rPr>
              <w:t>并以中文翻译内容为准。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760" w:type="dxa"/>
            <w:gridSpan w:val="2"/>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参与国家卫健委临床检验中心室间质评计划</w:t>
            </w:r>
          </w:p>
        </w:tc>
        <w:tc>
          <w:tcPr>
            <w:tcW w:w="843"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760" w:type="dxa"/>
            <w:gridSpan w:val="2"/>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具备医学参考实验室且获得CNAS认证（或国际同类相关认证）</w:t>
            </w:r>
          </w:p>
        </w:tc>
        <w:tc>
          <w:tcPr>
            <w:tcW w:w="843"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760" w:type="dxa"/>
            <w:gridSpan w:val="2"/>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具备对有证参考物质的赋值能力</w:t>
            </w:r>
          </w:p>
        </w:tc>
        <w:tc>
          <w:tcPr>
            <w:tcW w:w="843" w:type="dxa"/>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760" w:type="dxa"/>
            <w:gridSpan w:val="2"/>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能提供具备注册证的校准品并提供“靶值”和“不确定度”</w:t>
            </w:r>
          </w:p>
        </w:tc>
        <w:tc>
          <w:tcPr>
            <w:tcW w:w="843" w:type="dxa"/>
            <w:vAlign w:val="center"/>
          </w:tcPr>
          <w:p>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0.5</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69"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760" w:type="dxa"/>
            <w:gridSpan w:val="2"/>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07" w:type="dxa"/>
            <w:vMerge w:val="continue"/>
            <w:vAlign w:val="center"/>
          </w:tcPr>
          <w:p>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3704" w:type="dxa"/>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提供产品溯源性文件等</w:t>
            </w:r>
          </w:p>
        </w:tc>
        <w:tc>
          <w:tcPr>
            <w:tcW w:w="843" w:type="dxa"/>
            <w:vAlign w:val="center"/>
          </w:tcPr>
          <w:p>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0.5</w:t>
            </w:r>
          </w:p>
        </w:tc>
        <w:tc>
          <w:tcPr>
            <w:tcW w:w="1956" w:type="dxa"/>
            <w:vMerge w:val="continue"/>
            <w:vAlign w:val="center"/>
          </w:tcPr>
          <w:p>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6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价格得分（50分）</w:t>
            </w:r>
          </w:p>
        </w:tc>
        <w:tc>
          <w:tcPr>
            <w:tcW w:w="176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价格得分</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50</w:t>
            </w:r>
          </w:p>
        </w:tc>
        <w:tc>
          <w:tcPr>
            <w:tcW w:w="3704" w:type="dxa"/>
            <w:vAlign w:val="center"/>
          </w:tcPr>
          <w:p>
            <w:pPr>
              <w:spacing w:beforeLines="0" w:afterLines="0" w:line="24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position w:val="-10"/>
                <w:sz w:val="32"/>
                <w:szCs w:val="32"/>
                <w:lang w:val="en-US" w:eastAsia="zh-CN" w:bidi="ar-SA"/>
                <w14:textFill>
                  <w14:solidFill>
                    <w14:schemeClr w14:val="tx1"/>
                  </w14:solidFill>
                </w14:textFill>
              </w:rPr>
              <w:pict>
                <v:shape id="_x0000_s1034" o:spid="_x0000_s1034" o:spt="75" type="#_x0000_t75" style="position:absolute;left:0pt;margin-left:-2pt;margin-top:10.85pt;height:43.35pt;width:185.5pt;mso-wrap-distance-bottom:0pt;mso-wrap-distance-left:9pt;mso-wrap-distance-right:9pt;mso-wrap-distance-top:0pt;z-index:251662336;mso-width-relative:page;mso-height-relative:page;" o:ole="t" filled="f" o:preferrelative="t" stroked="f" coordsize="21600,21600">
                  <v:path/>
                  <v:fill on="f" focussize="0,0"/>
                  <v:stroke on="f"/>
                  <v:imagedata r:id="rId12" o:title=""/>
                  <o:lock v:ext="edit" aspectratio="t"/>
                  <w10:wrap type="square"/>
                </v:shape>
                <o:OLEObject Type="Embed" ProgID="Equation.KSEE3" ShapeID="_x0000_s1034" DrawAspect="Content" ObjectID="_1468075727" r:id="rId11">
                  <o:LockedField>false</o:LockedField>
                </o:OLEObject>
              </w:pic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50</w:t>
            </w:r>
          </w:p>
        </w:tc>
        <w:tc>
          <w:tcPr>
            <w:tcW w:w="195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（二）拟中选规则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1.拟中选规则一：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有效申报企业按照竞价得分排序后，取前50%确定为拟中选企业，拟中选企业最后一名得分相同，并列中选。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2.拟中选规则二：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拟中选规则一”未中选的企业，专家组给予企业充分沟通的时间，并通过招采子系统进行磋商撮合，申报企业综合考虑报出价格，专家组同意的确定为拟中选资格，不确认其报价的，进入下一轮磋商撮合。磋商撮合最终仍未与专家达成一致，企业失去拟中选资格。</w:t>
      </w:r>
    </w:p>
    <w:p>
      <w:pPr>
        <w:keepNext w:val="0"/>
        <w:keepLines w:val="0"/>
        <w:widowControl w:val="0"/>
        <w:numPr>
          <w:ilvl w:val="0"/>
          <w:numId w:val="0"/>
        </w:numPr>
        <w:suppressLineNumbers w:val="0"/>
        <w:spacing w:line="560" w:lineRule="exact"/>
        <w:ind w:firstLine="640" w:firstLineChars="200"/>
        <w:jc w:val="both"/>
        <w:outlineLvl w:val="9"/>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kern w:val="2"/>
          <w:sz w:val="32"/>
          <w:szCs w:val="32"/>
          <w:lang w:val="en-US" w:eastAsia="zh-CN" w:bidi="ar-SA"/>
          <w14:textFill>
            <w14:solidFill>
              <w14:schemeClr w14:val="tx1"/>
            </w14:solidFill>
          </w14:textFill>
        </w:rPr>
        <w:t>（三）</w:t>
      </w:r>
      <w:r>
        <w:rPr>
          <w:rFonts w:hint="eastAsia" w:ascii="楷体" w:hAnsi="楷体" w:eastAsia="楷体" w:cs="楷体"/>
          <w:b w:val="0"/>
          <w:bCs w:val="0"/>
          <w:color w:val="000000" w:themeColor="text1"/>
          <w:kern w:val="2"/>
          <w:sz w:val="32"/>
          <w:szCs w:val="32"/>
          <w:lang w:val="en-US" w:eastAsia="zh-CN" w:bidi="ar"/>
          <w14:textFill>
            <w14:solidFill>
              <w14:schemeClr w14:val="tx1"/>
            </w14:solidFill>
          </w14:textFill>
        </w:rPr>
        <w:t>价格纠偏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拟中选品种价格差距较大时需组织专家价格纠偏。不接受价格纠偏的，取消拟中选资格。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（四）分量规则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按规则一中选的企业，医疗机构报送意向需求量为首年协议采购量。</w:t>
      </w:r>
    </w:p>
    <w:p>
      <w:pPr>
        <w:spacing w:line="560" w:lineRule="exact"/>
        <w:ind w:firstLine="640" w:firstLineChars="200"/>
        <w:rPr>
          <w:rFonts w:hint="eastAsia" w:ascii="仿宋_GB2312" w:hAnsi="仿宋_GB2312" w:eastAsia="仿宋_GB2312" w:cs="仿宋_GB2312"/>
          <w:color w:val="FF0000"/>
          <w:sz w:val="32"/>
          <w:szCs w:val="32"/>
          <w:u w:val="single"/>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按规则二中选的企业，保留对应意向需求量的50%（如出现非整数则向上取整至个位）为本企业产品的协议采购量。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217" w:name="_Toc2420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剩余意向需求量或未中选企业意向需求量由医疗机构在中选企业中自行选择。</w:t>
      </w:r>
    </w:p>
    <w:p>
      <w:pPr>
        <w:pStyle w:val="4"/>
        <w:keepNext/>
        <w:keepLines/>
        <w:pageBreakBefore w:val="0"/>
        <w:widowControl w:val="0"/>
        <w:kinsoku/>
        <w:wordWrap/>
        <w:overflowPunct/>
        <w:topLinePunct w:val="0"/>
        <w:autoSpaceDE/>
        <w:autoSpaceDN/>
        <w:bidi w:val="0"/>
        <w:adjustRightInd/>
        <w:snapToGrid/>
        <w:spacing w:before="260" w:beforeLines="0" w:after="260" w:afterLines="0" w:line="560" w:lineRule="exact"/>
        <w:ind w:left="0" w:leftChars="0" w:right="0" w:rightChars="0" w:firstLine="643" w:firstLineChars="200"/>
        <w:jc w:val="both"/>
        <w:textAlignment w:val="auto"/>
        <w:outlineLvl w:val="1"/>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3"/>
        <w:spacing w:before="340" w:after="330" w:line="560" w:lineRule="exact"/>
        <w:jc w:val="center"/>
        <w:outlineLvl w:val="0"/>
        <w:rPr>
          <w:rFonts w:hint="eastAsia" w:ascii="方正公文小标宋" w:hAnsi="方正公文小标宋" w:eastAsia="方正公文小标宋" w:cs="方正公文小标宋"/>
          <w:b w:val="0"/>
          <w:bCs/>
          <w:color w:val="000000" w:themeColor="text1"/>
          <w:spacing w:val="-20"/>
          <w:lang w:val="en-US" w:eastAsia="zh-CN"/>
          <w14:textFill>
            <w14:solidFill>
              <w14:schemeClr w14:val="tx1"/>
            </w14:solidFill>
          </w14:textFill>
        </w:rPr>
      </w:pPr>
      <w:bookmarkStart w:id="218" w:name="_Toc7726"/>
      <w:bookmarkStart w:id="219" w:name="_Toc2941"/>
      <w:bookmarkStart w:id="220" w:name="_Toc1086"/>
      <w:bookmarkStart w:id="221" w:name="_Toc776"/>
      <w:bookmarkStart w:id="222" w:name="_Toc187"/>
      <w:bookmarkStart w:id="223" w:name="_Toc16136"/>
      <w:bookmarkStart w:id="224" w:name="_Toc2860"/>
      <w:bookmarkStart w:id="225" w:name="_Toc19039"/>
      <w:bookmarkStart w:id="226" w:name="_Toc363"/>
      <w:bookmarkStart w:id="227" w:name="_Toc24023"/>
      <w:bookmarkStart w:id="228" w:name="_Toc23988"/>
      <w:bookmarkStart w:id="229" w:name="_Toc1379"/>
      <w:r>
        <w:rPr>
          <w:rFonts w:hint="eastAsia" w:ascii="方正公文小标宋" w:hAnsi="方正公文小标宋" w:eastAsia="方正公文小标宋" w:cs="方正公文小标宋"/>
          <w:b w:val="0"/>
          <w:bCs/>
          <w:color w:val="000000" w:themeColor="text1"/>
          <w:spacing w:val="-20"/>
          <w:lang w:val="en-US" w:eastAsia="zh-CN"/>
          <w14:textFill>
            <w14:solidFill>
              <w14:schemeClr w14:val="tx1"/>
            </w14:solidFill>
          </w14:textFill>
        </w:rPr>
        <w:t>第四部分 中选结果公布及非中选产品价格联动</w:t>
      </w:r>
      <w:bookmarkEnd w:id="217"/>
      <w:bookmarkEnd w:id="218"/>
      <w:bookmarkEnd w:id="219"/>
      <w:bookmarkEnd w:id="220"/>
      <w:bookmarkEnd w:id="221"/>
      <w:bookmarkEnd w:id="222"/>
      <w:bookmarkEnd w:id="223"/>
      <w:bookmarkEnd w:id="224"/>
      <w:bookmarkEnd w:id="225"/>
      <w:bookmarkEnd w:id="226"/>
      <w:bookmarkEnd w:id="227"/>
      <w:bookmarkEnd w:id="228"/>
      <w:bookmarkEnd w:id="229"/>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b w:val="0"/>
          <w:bCs/>
          <w:color w:val="000000" w:themeColor="text1"/>
          <w:lang w:val="en-US" w:eastAsia="zh-CN"/>
          <w14:textFill>
            <w14:solidFill>
              <w14:schemeClr w14:val="tx1"/>
            </w14:solidFill>
          </w14:textFill>
        </w:rPr>
      </w:pPr>
      <w:bookmarkStart w:id="230" w:name="_Toc26812"/>
      <w:bookmarkStart w:id="231" w:name="_Toc26009"/>
      <w:bookmarkStart w:id="232" w:name="_Toc16257"/>
      <w:bookmarkStart w:id="233" w:name="_Toc29464"/>
      <w:bookmarkStart w:id="234" w:name="_Toc4498"/>
      <w:bookmarkStart w:id="235" w:name="_Toc19222"/>
      <w:bookmarkStart w:id="236" w:name="_Toc8482"/>
      <w:bookmarkStart w:id="237" w:name="_Toc26508"/>
      <w:bookmarkStart w:id="238" w:name="_Toc26955"/>
      <w:bookmarkStart w:id="239" w:name="_Toc5031"/>
      <w:bookmarkStart w:id="240" w:name="_Toc30734"/>
      <w:r>
        <w:rPr>
          <w:rFonts w:hint="eastAsia"/>
          <w:b w:val="0"/>
          <w:bCs/>
          <w:color w:val="000000" w:themeColor="text1"/>
          <w:lang w:val="en-US" w:eastAsia="zh-CN"/>
          <w14:textFill>
            <w14:solidFill>
              <w14:schemeClr w14:val="tx1"/>
            </w14:solidFill>
          </w14:textFill>
        </w:rPr>
        <w:t>一、拟中选结果公示</w:t>
      </w:r>
      <w:bookmarkEnd w:id="230"/>
      <w:bookmarkEnd w:id="231"/>
      <w:bookmarkEnd w:id="232"/>
      <w:bookmarkEnd w:id="233"/>
      <w:bookmarkEnd w:id="234"/>
      <w:bookmarkEnd w:id="235"/>
      <w:bookmarkEnd w:id="236"/>
      <w:bookmarkEnd w:id="237"/>
      <w:bookmarkEnd w:id="238"/>
      <w:bookmarkEnd w:id="239"/>
      <w:bookmarkEnd w:id="240"/>
    </w:p>
    <w:p>
      <w:pPr>
        <w:widowControl w:val="0"/>
        <w:numPr>
          <w:ilvl w:val="0"/>
          <w:numId w:val="0"/>
        </w:numPr>
        <w:spacing w:line="560" w:lineRule="exact"/>
        <w:ind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拟中选结果在</w:t>
      </w:r>
      <w:r>
        <w:rPr>
          <w:rFonts w:hint="eastAsia" w:ascii="仿宋_GB2312" w:hAnsi="仿宋_GB2312" w:eastAsia="仿宋_GB2312" w:cs="仿宋_GB2312"/>
          <w:color w:val="000000" w:themeColor="text1"/>
          <w:sz w:val="32"/>
          <w:szCs w:val="32"/>
          <w:lang w:eastAsia="zh-CN"/>
          <w14:textFill>
            <w14:solidFill>
              <w14:schemeClr w14:val="tx1"/>
            </w14:solidFill>
          </w14:textFill>
        </w:rPr>
        <w:t>甘肃省公共资源交易</w:t>
      </w:r>
      <w:r>
        <w:rPr>
          <w:rFonts w:hint="eastAsia" w:ascii="仿宋_GB2312" w:hAnsi="仿宋_GB2312" w:eastAsia="仿宋_GB2312" w:cs="仿宋_GB2312"/>
          <w:color w:val="000000" w:themeColor="text1"/>
          <w:sz w:val="32"/>
          <w:szCs w:val="32"/>
          <w14:textFill>
            <w14:solidFill>
              <w14:schemeClr w14:val="tx1"/>
            </w14:solidFill>
          </w14:textFill>
        </w:rPr>
        <w:t>网公示，企业申诉质疑可通过招采子系统递交申诉质疑材料及相关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佐</w:t>
      </w:r>
      <w:r>
        <w:rPr>
          <w:rFonts w:hint="eastAsia" w:ascii="仿宋_GB2312" w:hAnsi="仿宋_GB2312" w:eastAsia="仿宋_GB2312" w:cs="仿宋_GB2312"/>
          <w:color w:val="000000" w:themeColor="text1"/>
          <w:sz w:val="32"/>
          <w:szCs w:val="32"/>
          <w14:textFill>
            <w14:solidFill>
              <w14:schemeClr w14:val="tx1"/>
            </w14:solidFill>
          </w14:textFill>
        </w:rPr>
        <w:t>证材料。经提交</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行业主管部门组织专家评议</w:t>
      </w:r>
      <w:r>
        <w:rPr>
          <w:rFonts w:hint="eastAsia" w:ascii="仿宋_GB2312" w:hAnsi="仿宋_GB2312" w:eastAsia="仿宋_GB2312" w:cs="仿宋_GB2312"/>
          <w:color w:val="000000" w:themeColor="text1"/>
          <w:sz w:val="32"/>
          <w:szCs w:val="32"/>
          <w14:textFill>
            <w14:solidFill>
              <w14:schemeClr w14:val="tx1"/>
            </w14:solidFill>
          </w14:textFill>
        </w:rPr>
        <w:t>后予以调整。</w:t>
      </w:r>
    </w:p>
    <w:p>
      <w:pPr>
        <w:widowControl w:val="0"/>
        <w:numPr>
          <w:ilvl w:val="0"/>
          <w:numId w:val="0"/>
        </w:numPr>
        <w:spacing w:line="560" w:lineRule="exact"/>
        <w:ind w:firstLine="640" w:firstLineChars="200"/>
        <w:jc w:val="both"/>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拟中选价格原则上不得高于全国省级最低挂网价和省际（级）带量采购中选价两者最低值；若出现高于上述价格最低值的，经专家论证确定是否进行价格纠偏，不接受价格纠偏的，取消中选资格。各产品最小销售包装的拟中选价格是企业的拟中选人份报价乘以最小销售包装的人份数，取小数点后2位。</w:t>
      </w:r>
    </w:p>
    <w:p>
      <w:pPr>
        <w:widowControl w:val="0"/>
        <w:numPr>
          <w:ilvl w:val="0"/>
          <w:numId w:val="0"/>
        </w:numPr>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拟中选企业被取消中选资格，不再递补拟中选企业，不影响其他企业中选。</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color w:val="000000" w:themeColor="text1"/>
          <w:lang w:val="en-US" w:eastAsia="zh-CN"/>
          <w14:textFill>
            <w14:solidFill>
              <w14:schemeClr w14:val="tx1"/>
            </w14:solidFill>
          </w14:textFill>
        </w:rPr>
      </w:pPr>
      <w:bookmarkStart w:id="241" w:name="_Toc15631"/>
      <w:bookmarkStart w:id="242" w:name="_Toc29281"/>
      <w:bookmarkStart w:id="243" w:name="_Toc18366"/>
      <w:bookmarkStart w:id="244" w:name="_Toc18860"/>
      <w:bookmarkStart w:id="245" w:name="_Toc2558"/>
      <w:bookmarkStart w:id="246" w:name="_Toc8006"/>
      <w:bookmarkStart w:id="247" w:name="_Toc20564"/>
      <w:bookmarkStart w:id="248" w:name="_Toc7676"/>
      <w:bookmarkStart w:id="249" w:name="_Toc21743"/>
      <w:bookmarkStart w:id="250" w:name="_Toc5424"/>
      <w:bookmarkStart w:id="251" w:name="_Toc24012"/>
      <w:r>
        <w:rPr>
          <w:rFonts w:hint="eastAsia"/>
          <w:b w:val="0"/>
          <w:bCs/>
          <w:color w:val="000000" w:themeColor="text1"/>
          <w:lang w:val="en-US" w:eastAsia="zh-CN"/>
          <w14:textFill>
            <w14:solidFill>
              <w14:schemeClr w14:val="tx1"/>
            </w14:solidFill>
          </w14:textFill>
        </w:rPr>
        <w:t>二、中选结果公布</w:t>
      </w:r>
      <w:bookmarkEnd w:id="241"/>
      <w:bookmarkEnd w:id="242"/>
      <w:bookmarkEnd w:id="243"/>
      <w:bookmarkEnd w:id="244"/>
      <w:bookmarkEnd w:id="245"/>
      <w:bookmarkEnd w:id="246"/>
      <w:bookmarkEnd w:id="247"/>
      <w:bookmarkEnd w:id="248"/>
      <w:bookmarkEnd w:id="249"/>
      <w:bookmarkEnd w:id="250"/>
      <w:bookmarkEnd w:id="25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拟中选结果公示无异议后，由甘肃省公共资源交易网公布中选结果。</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eastAsia"/>
          <w:color w:val="000000" w:themeColor="text1"/>
          <w:lang w:val="en-US" w:eastAsia="zh-CN"/>
          <w14:textFill>
            <w14:solidFill>
              <w14:schemeClr w14:val="tx1"/>
            </w14:solidFill>
          </w14:textFill>
        </w:rPr>
      </w:pPr>
      <w:bookmarkStart w:id="252" w:name="_Toc24240"/>
      <w:bookmarkStart w:id="253" w:name="_Toc15655"/>
      <w:bookmarkStart w:id="254" w:name="_Toc28529"/>
      <w:bookmarkStart w:id="255" w:name="_Toc10"/>
      <w:bookmarkStart w:id="256" w:name="_Toc30237"/>
      <w:bookmarkStart w:id="257" w:name="_Toc10496"/>
      <w:bookmarkStart w:id="258" w:name="_Toc22020"/>
      <w:bookmarkStart w:id="259" w:name="_Toc22378"/>
      <w:bookmarkStart w:id="260" w:name="_Toc18562"/>
      <w:bookmarkStart w:id="261" w:name="_Toc24289"/>
      <w:bookmarkStart w:id="262" w:name="_Toc24655"/>
      <w:r>
        <w:rPr>
          <w:rFonts w:hint="eastAsia"/>
          <w:b w:val="0"/>
          <w:bCs/>
          <w:color w:val="000000" w:themeColor="text1"/>
          <w:lang w:val="en-US" w:eastAsia="zh-CN"/>
          <w14:textFill>
            <w14:solidFill>
              <w14:schemeClr w14:val="tx1"/>
            </w14:solidFill>
          </w14:textFill>
        </w:rPr>
        <w:t>三、非中选产品价格联动</w:t>
      </w:r>
      <w:bookmarkEnd w:id="252"/>
      <w:bookmarkEnd w:id="253"/>
      <w:bookmarkEnd w:id="254"/>
      <w:bookmarkEnd w:id="255"/>
      <w:bookmarkEnd w:id="256"/>
      <w:bookmarkEnd w:id="257"/>
      <w:bookmarkEnd w:id="258"/>
      <w:bookmarkEnd w:id="259"/>
      <w:bookmarkEnd w:id="260"/>
      <w:bookmarkEnd w:id="261"/>
      <w:bookmarkEnd w:id="26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价格联动按照性能与价格相匹配的原则，未中选产品申报价格不高于国家、省际联盟和我省集中带量采购同类中选产品最高价和全国省级最低挂网价的低值，可申请纳入带量采购非中选价格联动目录供全省医疗机构采购。鼓励企业主动按国家、省际联盟和我省集中带量采购同类产品的中选价进行价格联动，逐步将体外诊断试剂价格调整至合理水平。</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pPr>
      <w:r>
        <w:br w:type="page"/>
      </w:r>
    </w:p>
    <w:p>
      <w:pPr>
        <w:pStyle w:val="3"/>
        <w:spacing w:line="600" w:lineRule="exact"/>
        <w:jc w:val="center"/>
        <w:rPr>
          <w:rFonts w:hint="eastAsia" w:ascii="方正公文小标宋" w:hAnsi="方正公文小标宋" w:eastAsia="方正公文小标宋" w:cs="方正公文小标宋"/>
          <w:b w:val="0"/>
          <w:bCs/>
          <w:lang w:val="en-US" w:eastAsia="zh-CN"/>
        </w:rPr>
      </w:pPr>
      <w:bookmarkStart w:id="263" w:name="_Toc18899"/>
      <w:bookmarkStart w:id="264" w:name="_Toc12228"/>
      <w:bookmarkStart w:id="265" w:name="_Toc14549"/>
      <w:bookmarkStart w:id="266" w:name="_Toc21056"/>
      <w:bookmarkStart w:id="267" w:name="_Toc17149"/>
      <w:bookmarkStart w:id="268" w:name="_Toc20537"/>
      <w:bookmarkStart w:id="269" w:name="_Toc11089"/>
      <w:bookmarkStart w:id="270" w:name="_Toc25155"/>
      <w:r>
        <w:rPr>
          <w:rFonts w:hint="eastAsia" w:ascii="方正公文小标宋" w:hAnsi="方正公文小标宋" w:eastAsia="方正公文小标宋" w:cs="方正公文小标宋"/>
          <w:b w:val="0"/>
          <w:bCs/>
          <w:lang w:val="en-US" w:eastAsia="zh-CN"/>
        </w:rPr>
        <w:t>第五部分  其他有关问题处理</w:t>
      </w:r>
      <w:bookmarkEnd w:id="263"/>
      <w:bookmarkEnd w:id="264"/>
      <w:bookmarkEnd w:id="265"/>
      <w:bookmarkEnd w:id="266"/>
      <w:bookmarkEnd w:id="267"/>
      <w:bookmarkEnd w:id="268"/>
      <w:bookmarkEnd w:id="269"/>
      <w:bookmarkEnd w:id="270"/>
    </w:p>
    <w:p>
      <w:pPr>
        <w:numPr>
          <w:ilvl w:val="0"/>
          <w:numId w:val="0"/>
        </w:numPr>
        <w:spacing w:before="0" w:line="560" w:lineRule="exact"/>
        <w:ind w:firstLine="640" w:firstLineChars="200"/>
        <w:outlineLvl w:val="9"/>
        <w:rPr>
          <w:rFonts w:hint="eastAsia" w:ascii="Arial" w:hAnsi="Arial" w:eastAsia="黑体" w:cs="Times New Roman"/>
          <w:bCs/>
          <w:color w:val="000000" w:themeColor="text1"/>
          <w:sz w:val="32"/>
          <w:szCs w:val="24"/>
          <w14:textFill>
            <w14:solidFill>
              <w14:schemeClr w14:val="tx1"/>
            </w14:solidFill>
          </w14:textFill>
        </w:rPr>
      </w:pPr>
      <w:r>
        <w:rPr>
          <w:rFonts w:hint="eastAsia" w:ascii="Arial" w:hAnsi="Arial" w:eastAsia="黑体" w:cs="Times New Roman"/>
          <w:bCs/>
          <w:color w:val="000000" w:themeColor="text1"/>
          <w:sz w:val="32"/>
          <w:szCs w:val="24"/>
          <w14:textFill>
            <w14:solidFill>
              <w14:schemeClr w14:val="tx1"/>
            </w14:solidFill>
          </w14:textFill>
        </w:rPr>
        <w:t>一</w:t>
      </w:r>
      <w:r>
        <w:rPr>
          <w:rFonts w:hint="eastAsia" w:ascii="Arial" w:hAnsi="Arial" w:eastAsia="黑体" w:cs="Times New Roman"/>
          <w:bCs/>
          <w:color w:val="000000" w:themeColor="text1"/>
          <w:sz w:val="32"/>
          <w:szCs w:val="24"/>
          <w:lang w:eastAsia="zh-CN"/>
          <w14:textFill>
            <w14:solidFill>
              <w14:schemeClr w14:val="tx1"/>
            </w14:solidFill>
          </w14:textFill>
        </w:rPr>
        <w:t>、</w:t>
      </w:r>
      <w:r>
        <w:rPr>
          <w:rFonts w:hint="eastAsia" w:ascii="Arial" w:hAnsi="Arial" w:eastAsia="黑体" w:cs="Times New Roman"/>
          <w:bCs/>
          <w:color w:val="000000" w:themeColor="text1"/>
          <w:sz w:val="32"/>
          <w:szCs w:val="24"/>
          <w14:textFill>
            <w14:solidFill>
              <w14:schemeClr w14:val="tx1"/>
            </w14:solidFill>
          </w14:textFill>
        </w:rPr>
        <w:t>申报企业、中选企业、配送企业如有以下行为，经有关部门认定情节严重的将被列入“违规名单”</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申报产品不符合“申报产品资格”或涉嫌提供虚假材料。</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提供商业贿赂，进行非法促销活动。</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以低于成本的价格恶意申报，扰乱市场秩序。</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相互串通申报、协商报价，排斥其他申报企业的公平竞争，损害医疗机构或者其他申报企业的合法利益。</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以向医疗机构行贿等手段牟取中选。</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提供虚假证明文件及文献资料，或者以其他方式弄虚作假，骗取中选。</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在规定期限内不签订采购协议。</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中选企业、配送企业未按采购协议及法律法规要求实行配送。</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中选后放弃中选资格。</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14:textFill>
            <w14:solidFill>
              <w14:schemeClr w14:val="tx1"/>
            </w14:solidFill>
          </w14:textFill>
        </w:rPr>
        <w:t>中选产品不履行供货承诺，影响到临床使用。</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（十一）</w:t>
      </w:r>
      <w:r>
        <w:rPr>
          <w:rFonts w:hint="eastAsia" w:ascii="仿宋_GB2312" w:hAnsi="仿宋_GB2312" w:eastAsia="仿宋_GB2312" w:cs="仿宋_GB2312"/>
          <w:color w:val="000000" w:themeColor="text1"/>
          <w:sz w:val="32"/>
          <w:szCs w:val="32"/>
          <w14:textFill>
            <w14:solidFill>
              <w14:schemeClr w14:val="tx1"/>
            </w14:solidFill>
          </w14:textFill>
        </w:rPr>
        <w:t>中选产品发生严重质量问题。</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（十二）</w:t>
      </w:r>
      <w:r>
        <w:rPr>
          <w:rFonts w:hint="eastAsia" w:ascii="仿宋_GB2312" w:hAnsi="仿宋_GB2312" w:eastAsia="仿宋_GB2312" w:cs="仿宋_GB2312"/>
          <w:color w:val="000000" w:themeColor="text1"/>
          <w:sz w:val="32"/>
          <w:szCs w:val="32"/>
          <w14:textFill>
            <w14:solidFill>
              <w14:schemeClr w14:val="tx1"/>
            </w14:solidFill>
          </w14:textFill>
        </w:rPr>
        <w:t>中选产品因不符合生产质量管理规范被药品监督管理部门处以暂停生产、销售、使用、进口等控制措施。</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（十三）</w:t>
      </w:r>
      <w:r>
        <w:rPr>
          <w:rFonts w:hint="eastAsia" w:ascii="仿宋_GB2312" w:hAnsi="仿宋_GB2312" w:eastAsia="仿宋_GB2312" w:cs="仿宋_GB2312"/>
          <w:color w:val="000000" w:themeColor="text1"/>
          <w:sz w:val="32"/>
          <w:szCs w:val="32"/>
          <w14:textFill>
            <w14:solidFill>
              <w14:schemeClr w14:val="tx1"/>
            </w14:solidFill>
          </w14:textFill>
        </w:rPr>
        <w:t>在抽检或飞行检查中发现中选企业严重违背在申报材料中作出的承诺。</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（十四）</w:t>
      </w:r>
      <w:r>
        <w:rPr>
          <w:rFonts w:hint="eastAsia" w:ascii="仿宋_GB2312" w:hAnsi="仿宋_GB2312" w:eastAsia="仿宋_GB2312" w:cs="仿宋_GB2312"/>
          <w:color w:val="000000" w:themeColor="text1"/>
          <w:sz w:val="32"/>
          <w:szCs w:val="32"/>
          <w14:textFill>
            <w14:solidFill>
              <w14:schemeClr w14:val="tx1"/>
            </w14:solidFill>
          </w14:textFill>
        </w:rPr>
        <w:t>通过恶意投诉等不正当手段竞争。</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（十五）</w:t>
      </w:r>
      <w:r>
        <w:rPr>
          <w:rFonts w:hint="eastAsia" w:ascii="仿宋_GB2312" w:hAnsi="仿宋_GB2312" w:eastAsia="仿宋_GB2312" w:cs="仿宋_GB2312"/>
          <w:color w:val="000000" w:themeColor="text1"/>
          <w:sz w:val="32"/>
          <w:szCs w:val="32"/>
          <w14:textFill>
            <w14:solidFill>
              <w14:schemeClr w14:val="tx1"/>
            </w14:solidFill>
          </w14:textFill>
        </w:rPr>
        <w:t>蓄意干扰集中带量采购相关工作秩序。</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（十六）</w:t>
      </w:r>
      <w:r>
        <w:rPr>
          <w:rFonts w:hint="eastAsia" w:ascii="仿宋_GB2312" w:hAnsi="仿宋_GB2312" w:eastAsia="仿宋_GB2312" w:cs="仿宋_GB2312"/>
          <w:color w:val="000000" w:themeColor="text1"/>
          <w:sz w:val="32"/>
          <w:szCs w:val="32"/>
          <w14:textFill>
            <w14:solidFill>
              <w14:schemeClr w14:val="tx1"/>
            </w14:solidFill>
          </w14:textFill>
        </w:rPr>
        <w:t>其他违反法律法规的行为。</w:t>
      </w:r>
    </w:p>
    <w:p>
      <w:pPr>
        <w:numPr>
          <w:ilvl w:val="0"/>
          <w:numId w:val="0"/>
        </w:numPr>
        <w:spacing w:before="0" w:line="560" w:lineRule="exact"/>
        <w:ind w:firstLine="640" w:firstLineChars="200"/>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列入“违规名单”的相关企业，按以下方式处理</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申报企业列入“违规名单”，取消该企业的申报资格；中选企业列入“违规名单”，取消该企业的中选资格。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凡</w:t>
      </w:r>
      <w:r>
        <w:rPr>
          <w:rFonts w:hint="eastAsia" w:ascii="仿宋_GB2312" w:hAnsi="仿宋_GB2312" w:eastAsia="仿宋_GB2312" w:cs="仿宋_GB2312"/>
          <w:color w:val="000000" w:themeColor="text1"/>
          <w:sz w:val="32"/>
          <w:szCs w:val="32"/>
          <w14:textFill>
            <w14:solidFill>
              <w14:schemeClr w14:val="tx1"/>
            </w14:solidFill>
          </w14:textFill>
        </w:rPr>
        <w:t>列入“违规名单”，视情节轻重及客观实际，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可取消</w:t>
      </w:r>
      <w:r>
        <w:rPr>
          <w:rFonts w:hint="eastAsia" w:ascii="仿宋_GB2312" w:hAnsi="仿宋_GB2312" w:eastAsia="仿宋_GB2312" w:cs="仿宋_GB2312"/>
          <w:color w:val="000000" w:themeColor="text1"/>
          <w:sz w:val="32"/>
          <w:szCs w:val="32"/>
          <w14:textFill>
            <w14:solidFill>
              <w14:schemeClr w14:val="tx1"/>
            </w14:solidFill>
          </w14:textFill>
        </w:rPr>
        <w:t>2年内参与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甘肃省医用耗材</w:t>
      </w:r>
      <w:r>
        <w:rPr>
          <w:rFonts w:hint="eastAsia" w:ascii="仿宋_GB2312" w:hAnsi="仿宋_GB2312" w:eastAsia="仿宋_GB2312" w:cs="仿宋_GB2312"/>
          <w:color w:val="000000" w:themeColor="text1"/>
          <w:sz w:val="32"/>
          <w:szCs w:val="32"/>
          <w14:textFill>
            <w14:solidFill>
              <w14:schemeClr w14:val="tx1"/>
            </w14:solidFill>
          </w14:textFill>
        </w:rPr>
        <w:t>采购活动的资格。</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配送企业列入“违规名单”，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取消</w:t>
      </w:r>
      <w:r>
        <w:rPr>
          <w:rFonts w:hint="eastAsia" w:ascii="仿宋_GB2312" w:hAnsi="仿宋_GB2312" w:eastAsia="仿宋_GB2312" w:cs="仿宋_GB2312"/>
          <w:color w:val="000000" w:themeColor="text1"/>
          <w:sz w:val="32"/>
          <w:szCs w:val="32"/>
          <w14:textFill>
            <w14:solidFill>
              <w14:schemeClr w14:val="tx1"/>
            </w14:solidFill>
          </w14:textFill>
        </w:rPr>
        <w:t>该企业的配送资格</w:t>
      </w:r>
      <w:r>
        <w:rPr>
          <w:rFonts w:hint="eastAsia" w:ascii="仿宋_GB2312" w:hAnsi="仿宋_GB2312" w:eastAsia="仿宋_GB2312" w:cs="仿宋_GB2312"/>
          <w:color w:val="000000" w:themeColor="text1"/>
          <w:sz w:val="32"/>
          <w:szCs w:val="32"/>
          <w:lang w:eastAsia="zh-CN"/>
          <w14:textFill>
            <w14:solidFill>
              <w14:schemeClr w14:val="tx1"/>
            </w14:solidFill>
          </w14:textFill>
        </w:rPr>
        <w:t>，自</w:t>
      </w:r>
      <w:r>
        <w:rPr>
          <w:rFonts w:hint="eastAsia" w:ascii="仿宋_GB2312" w:hAnsi="仿宋_GB2312" w:eastAsia="仿宋_GB2312" w:cs="仿宋_GB2312"/>
          <w:color w:val="000000" w:themeColor="text1"/>
          <w:sz w:val="32"/>
          <w:szCs w:val="32"/>
          <w14:textFill>
            <w14:solidFill>
              <w14:schemeClr w14:val="tx1"/>
            </w14:solidFill>
          </w14:textFill>
        </w:rPr>
        <w:t>列入“违规名单”之日起</w:t>
      </w:r>
      <w:r>
        <w:rPr>
          <w:rFonts w:hint="eastAsia" w:ascii="仿宋_GB2312" w:hAnsi="仿宋_GB2312" w:eastAsia="仿宋_GB2312" w:cs="仿宋_GB2312"/>
          <w:color w:val="000000" w:themeColor="text1"/>
          <w:sz w:val="32"/>
          <w:szCs w:val="32"/>
          <w:lang w:eastAsia="zh-CN"/>
          <w14:textFill>
            <w14:solidFill>
              <w14:schemeClr w14:val="tx1"/>
            </w14:solidFill>
          </w14:textFill>
        </w:rPr>
        <w:t>取消</w:t>
      </w:r>
      <w:r>
        <w:rPr>
          <w:rFonts w:hint="eastAsia" w:ascii="仿宋_GB2312" w:hAnsi="仿宋_GB2312" w:eastAsia="仿宋_GB2312" w:cs="仿宋_GB2312"/>
          <w:color w:val="000000" w:themeColor="text1"/>
          <w:sz w:val="32"/>
          <w:szCs w:val="32"/>
          <w14:textFill>
            <w14:solidFill>
              <w14:schemeClr w14:val="tx1"/>
            </w14:solidFill>
          </w14:textFill>
        </w:rPr>
        <w:t>2年内参与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w:t>
      </w:r>
      <w:r>
        <w:rPr>
          <w:rFonts w:hint="eastAsia" w:ascii="仿宋_GB2312" w:hAnsi="仿宋_GB2312" w:eastAsia="仿宋_GB2312" w:cs="仿宋_GB2312"/>
          <w:color w:val="000000" w:themeColor="text1"/>
          <w:sz w:val="32"/>
          <w:szCs w:val="32"/>
          <w14:textFill>
            <w14:solidFill>
              <w14:schemeClr w14:val="tx1"/>
            </w14:solidFill>
          </w14:textFill>
        </w:rPr>
        <w:t>医用耗材采购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活动</w:t>
      </w:r>
      <w:r>
        <w:rPr>
          <w:rFonts w:hint="eastAsia" w:ascii="仿宋_GB2312" w:hAnsi="仿宋_GB2312" w:eastAsia="仿宋_GB2312" w:cs="仿宋_GB2312"/>
          <w:color w:val="000000" w:themeColor="text1"/>
          <w:sz w:val="32"/>
          <w:szCs w:val="32"/>
          <w14:textFill>
            <w14:solidFill>
              <w14:schemeClr w14:val="tx1"/>
            </w14:solidFill>
          </w14:textFill>
        </w:rPr>
        <w:t>的配送资格。</w:t>
      </w:r>
    </w:p>
    <w:p>
      <w:pPr>
        <w:numPr>
          <w:ilvl w:val="0"/>
          <w:numId w:val="0"/>
        </w:numPr>
        <w:spacing w:before="0" w:line="560" w:lineRule="exact"/>
        <w:ind w:firstLine="640" w:firstLineChars="200"/>
        <w:outlineLvl w:val="9"/>
        <w:rPr>
          <w:rFonts w:hint="eastAsia" w:ascii="楷体" w:hAnsi="楷体" w:eastAsia="楷体" w:cs="楷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其他事项</w:t>
      </w:r>
    </w:p>
    <w:p>
      <w:pPr>
        <w:pageBreakBefore w:val="0"/>
        <w:numPr>
          <w:ilvl w:val="0"/>
          <w:numId w:val="0"/>
        </w:numPr>
        <w:kinsoku/>
        <w:overflowPunct/>
        <w:topLinePunct w:val="0"/>
        <w:bidi w:val="0"/>
        <w:snapToGrid/>
        <w:spacing w:before="0" w:line="240" w:lineRule="auto"/>
        <w:ind w:firstLine="640" w:firstLineChars="200"/>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（一）甘肃省医疗保障局已通过自我审查方式开展公平竞争审查，本次集中采购相关文件不具有排除、限制竞争效果。</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中选产品出现被药品监督管理部门暂停生产、销售、使用、进口等情况，取消中选资格。</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采购周期内，中选企业出现无法保证供应等情况，致使采购协议无法继续履行时，与该企业协商后，由医疗机构在中选产品中自主选择价格事宜的产品。因保障供应产生的额外支出由无法履行采购协议的原中选企业承担。</w:t>
      </w:r>
    </w:p>
    <w:p>
      <w:pPr>
        <w:numPr>
          <w:ilvl w:val="0"/>
          <w:numId w:val="0"/>
        </w:numPr>
        <w:spacing w:before="0" w:line="560" w:lineRule="exact"/>
        <w:ind w:firstLine="640" w:firstLineChars="200"/>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因中选产品存在生产质量问题，给患者造成的损失，按照相关规定，由中选企业承担全部赔偿责任。</w:t>
      </w:r>
    </w:p>
    <w:p>
      <w:pPr>
        <w:numPr>
          <w:ilvl w:val="0"/>
          <w:numId w:val="0"/>
        </w:numPr>
        <w:spacing w:before="0" w:line="560" w:lineRule="exact"/>
        <w:ind w:firstLine="640" w:firstLineChars="200"/>
        <w:outlineLvl w:val="9"/>
        <w:rPr>
          <w:rFonts w:hint="eastAsia" w:ascii="仿宋_GB2312" w:hAnsi="仿宋_GB2312" w:eastAsia="仿宋_GB2312" w:cs="仿宋_GB2312"/>
          <w:b/>
          <w:bCs/>
          <w:color w:val="0000FF"/>
          <w:sz w:val="32"/>
          <w:szCs w:val="32"/>
          <w:u w:val="none"/>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本采购文件仅适用于本次</w:t>
      </w:r>
      <w:r>
        <w:rPr>
          <w:rFonts w:hint="eastAsia" w:ascii="黑体" w:hAnsi="黑体" w:eastAsia="黑体" w:cs="黑体"/>
          <w:color w:val="000000" w:themeColor="text1"/>
          <w:sz w:val="32"/>
          <w:szCs w:val="32"/>
          <w:lang w:eastAsia="zh-CN"/>
          <w14:textFill>
            <w14:solidFill>
              <w14:schemeClr w14:val="tx1"/>
            </w14:solidFill>
          </w14:textFill>
        </w:rPr>
        <w:t>甘肃省</w:t>
      </w:r>
      <w:r>
        <w:rPr>
          <w:rFonts w:hint="eastAsia" w:ascii="黑体" w:hAnsi="黑体" w:eastAsia="黑体" w:cs="黑体"/>
          <w:color w:val="000000" w:themeColor="text1"/>
          <w:sz w:val="32"/>
          <w:szCs w:val="32"/>
          <w:lang w:val="en-US" w:eastAsia="zh-CN"/>
          <w14:textFill>
            <w14:solidFill>
              <w14:schemeClr w14:val="tx1"/>
            </w14:solidFill>
          </w14:textFill>
        </w:rPr>
        <w:t>甲状腺功能检测试剂</w:t>
      </w:r>
      <w:r>
        <w:rPr>
          <w:rFonts w:hint="eastAsia" w:ascii="黑体" w:hAnsi="黑体" w:eastAsia="黑体" w:cs="黑体"/>
          <w:color w:val="000000" w:themeColor="text1"/>
          <w:sz w:val="32"/>
          <w:szCs w:val="32"/>
          <w14:textFill>
            <w14:solidFill>
              <w14:schemeClr w14:val="tx1"/>
            </w14:solidFill>
          </w14:textFill>
        </w:rPr>
        <w:t>集中带量采购所述项目，最终解释权归</w:t>
      </w: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甘肃省医疗保障局</w:t>
      </w:r>
      <w:r>
        <w:rPr>
          <w:rFonts w:hint="eastAsia" w:ascii="黑体" w:hAnsi="黑体" w:eastAsia="黑体" w:cs="黑体"/>
          <w:b w:val="0"/>
          <w:bCs w:val="0"/>
          <w:color w:val="000000" w:themeColor="text1"/>
          <w:sz w:val="32"/>
          <w:szCs w:val="32"/>
          <w:u w:val="none"/>
          <w14:textFill>
            <w14:solidFill>
              <w14:schemeClr w14:val="tx1"/>
            </w14:solidFill>
          </w14:textFill>
        </w:rPr>
        <w:t>。</w:t>
      </w:r>
      <w:r>
        <w:rPr>
          <w:rFonts w:hint="eastAsia" w:ascii="仿宋_GB2312" w:hAnsi="仿宋_GB2312" w:eastAsia="仿宋_GB2312" w:cs="仿宋_GB2312"/>
          <w:b/>
          <w:bCs/>
          <w:color w:val="0000FF"/>
          <w:sz w:val="32"/>
          <w:szCs w:val="32"/>
          <w:u w:val="none"/>
        </w:rPr>
        <w:br w:type="page"/>
      </w:r>
    </w:p>
    <w:p>
      <w:pPr>
        <w:spacing w:before="97" w:line="223" w:lineRule="auto"/>
        <w:rPr>
          <w:rFonts w:ascii="宋体" w:hAnsi="宋体" w:eastAsia="宋体" w:cs="宋体"/>
          <w:color w:val="000000" w:themeColor="text1"/>
          <w:sz w:val="24"/>
          <w14:textFill>
            <w14:solidFill>
              <w14:schemeClr w14:val="tx1"/>
            </w14:solidFill>
          </w14:textFill>
        </w:rPr>
      </w:pPr>
    </w:p>
    <w:p>
      <w:pPr>
        <w:pStyle w:val="3"/>
        <w:keepNext/>
        <w:keepLines/>
        <w:pageBreakBefore w:val="0"/>
        <w:widowControl w:val="0"/>
        <w:kinsoku/>
        <w:wordWrap/>
        <w:overflowPunct/>
        <w:topLinePunct w:val="0"/>
        <w:autoSpaceDE/>
        <w:autoSpaceDN/>
        <w:bidi w:val="0"/>
        <w:adjustRightInd/>
        <w:snapToGrid/>
        <w:spacing w:before="340" w:beforeLines="0" w:after="330" w:afterLines="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bookmarkStart w:id="271" w:name="_Toc4108"/>
      <w:bookmarkStart w:id="272" w:name="_Toc19095"/>
      <w:bookmarkStart w:id="273" w:name="_Toc22634"/>
      <w:bookmarkStart w:id="274" w:name="_Toc4401"/>
      <w:bookmarkStart w:id="275" w:name="_Toc13318"/>
      <w:bookmarkStart w:id="276" w:name="_Toc3605"/>
      <w:bookmarkStart w:id="277" w:name="_Toc24522"/>
      <w:bookmarkStart w:id="278" w:name="_Toc2949"/>
      <w:bookmarkStart w:id="279" w:name="_Toc30367"/>
      <w:bookmarkStart w:id="280" w:name="_Toc6023"/>
      <w:bookmarkStart w:id="281" w:name="_Toc30772"/>
      <w:bookmarkStart w:id="282" w:name="_Toc11279"/>
      <w:bookmarkStart w:id="283" w:name="_Toc9042"/>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第六部分 附件</w:t>
      </w:r>
      <w:bookmarkEnd w:id="271"/>
      <w:bookmarkEnd w:id="272"/>
      <w:bookmarkEnd w:id="273"/>
      <w:bookmarkEnd w:id="274"/>
      <w:bookmarkEnd w:id="275"/>
      <w:bookmarkEnd w:id="276"/>
      <w:bookmarkEnd w:id="277"/>
      <w:bookmarkEnd w:id="278"/>
      <w:bookmarkEnd w:id="279"/>
      <w:bookmarkEnd w:id="280"/>
      <w:bookmarkEnd w:id="281"/>
      <w:bookmarkEnd w:id="282"/>
      <w:bookmarkEnd w:id="283"/>
    </w:p>
    <w:p>
      <w:pPr>
        <w:rPr>
          <w:rFonts w:hint="eastAsia"/>
          <w:color w:val="000000" w:themeColor="text1"/>
          <w:lang w:val="en-US" w:eastAsia="zh-CN"/>
          <w14:textFill>
            <w14:solidFill>
              <w14:schemeClr w14:val="tx1"/>
            </w14:solidFill>
          </w14:textFill>
        </w:rPr>
      </w:pPr>
    </w:p>
    <w:p>
      <w:pPr>
        <w:spacing w:line="560" w:lineRule="exact"/>
        <w:ind w:firstLine="640" w:firstLineChars="200"/>
        <w:rPr>
          <w:rFonts w:hint="eastAsia" w:ascii="方正仿宋_GB2312" w:hAnsi="方正仿宋_GB2312" w:eastAsia="方正仿宋_GB2312" w:cs="方正仿宋_GB2312"/>
          <w:sz w:val="32"/>
          <w:szCs w:val="32"/>
          <w:lang w:val="en-US" w:eastAsia="zh-CN"/>
        </w:rPr>
      </w:pPr>
      <w:bookmarkStart w:id="284" w:name="_Toc17866"/>
      <w:bookmarkStart w:id="285" w:name="_Toc1169"/>
      <w:bookmarkStart w:id="286" w:name="_Toc3778"/>
      <w:bookmarkStart w:id="287" w:name="_Toc16630"/>
      <w:bookmarkStart w:id="288" w:name="_Toc14785"/>
      <w:bookmarkStart w:id="289" w:name="_Toc1851"/>
      <w:bookmarkStart w:id="290" w:name="_Toc24504"/>
      <w:bookmarkStart w:id="291" w:name="_Toc7734"/>
      <w:bookmarkStart w:id="292" w:name="_Toc17544"/>
      <w:bookmarkStart w:id="293" w:name="_Toc5547"/>
      <w:bookmarkStart w:id="294" w:name="_Toc12891"/>
      <w:r>
        <w:rPr>
          <w:rFonts w:hint="eastAsia" w:ascii="方正仿宋_GB2312" w:hAnsi="方正仿宋_GB2312" w:eastAsia="方正仿宋_GB2312" w:cs="方正仿宋_GB2312"/>
          <w:sz w:val="32"/>
          <w:szCs w:val="32"/>
          <w:lang w:val="en-US" w:eastAsia="zh-CN"/>
        </w:rPr>
        <w:t>附件：1-1.法定代表人授权书</w:t>
      </w:r>
      <w:bookmarkEnd w:id="284"/>
      <w:bookmarkEnd w:id="285"/>
      <w:bookmarkEnd w:id="286"/>
      <w:bookmarkEnd w:id="287"/>
      <w:bookmarkEnd w:id="288"/>
      <w:bookmarkEnd w:id="289"/>
      <w:bookmarkEnd w:id="290"/>
      <w:bookmarkEnd w:id="291"/>
      <w:bookmarkEnd w:id="292"/>
      <w:bookmarkEnd w:id="293"/>
      <w:bookmarkEnd w:id="294"/>
    </w:p>
    <w:p>
      <w:pPr>
        <w:spacing w:line="560" w:lineRule="exact"/>
        <w:ind w:firstLine="1600" w:firstLineChars="500"/>
        <w:rPr>
          <w:rFonts w:hint="eastAsia" w:ascii="方正仿宋_GB2312" w:hAnsi="方正仿宋_GB2312" w:eastAsia="方正仿宋_GB2312" w:cs="方正仿宋_GB2312"/>
          <w:sz w:val="32"/>
          <w:szCs w:val="32"/>
          <w:lang w:val="en-US" w:eastAsia="zh-CN"/>
        </w:rPr>
      </w:pPr>
      <w:bookmarkStart w:id="295" w:name="_Toc1130"/>
      <w:bookmarkStart w:id="296" w:name="_Toc2669"/>
      <w:bookmarkStart w:id="297" w:name="_Toc23034"/>
      <w:bookmarkStart w:id="298" w:name="_Toc7889"/>
      <w:bookmarkStart w:id="299" w:name="_Toc19688"/>
      <w:bookmarkStart w:id="300" w:name="_Toc28874"/>
      <w:bookmarkStart w:id="301" w:name="_Toc20816"/>
      <w:bookmarkStart w:id="302" w:name="_Toc21397"/>
      <w:bookmarkStart w:id="303" w:name="_Toc6788"/>
      <w:bookmarkStart w:id="304" w:name="_Toc32128"/>
      <w:bookmarkStart w:id="305" w:name="_Toc14984"/>
      <w:r>
        <w:rPr>
          <w:rFonts w:hint="eastAsia" w:ascii="方正仿宋_GB2312" w:hAnsi="方正仿宋_GB2312" w:eastAsia="方正仿宋_GB2312" w:cs="方正仿宋_GB2312"/>
          <w:sz w:val="32"/>
          <w:szCs w:val="32"/>
          <w:lang w:val="en-US" w:eastAsia="zh-CN"/>
        </w:rPr>
        <w:t>1-2.甘肃省甲状腺功能检测试剂集中带量采购申报函</w:t>
      </w:r>
      <w:bookmarkEnd w:id="295"/>
      <w:bookmarkEnd w:id="296"/>
      <w:bookmarkEnd w:id="297"/>
      <w:bookmarkEnd w:id="298"/>
      <w:bookmarkEnd w:id="299"/>
      <w:bookmarkEnd w:id="300"/>
      <w:bookmarkEnd w:id="301"/>
      <w:bookmarkEnd w:id="302"/>
      <w:bookmarkEnd w:id="303"/>
      <w:bookmarkEnd w:id="304"/>
      <w:bookmarkEnd w:id="305"/>
      <w:r>
        <w:rPr>
          <w:rFonts w:hint="eastAsia" w:ascii="方正仿宋_GB2312" w:hAnsi="方正仿宋_GB2312" w:eastAsia="方正仿宋_GB2312" w:cs="方正仿宋_GB2312"/>
          <w:sz w:val="32"/>
          <w:szCs w:val="32"/>
          <w:lang w:val="en-US" w:eastAsia="zh-CN"/>
        </w:rPr>
        <w:t>及信用承诺书</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pPr>
        <w:pStyle w:val="4"/>
        <w:spacing w:line="460" w:lineRule="exact"/>
        <w:jc w:val="both"/>
        <w:rPr>
          <w:rFonts w:hint="default" w:ascii="黑体" w:hAnsi="黑体" w:cs="黑体"/>
          <w:b w:val="0"/>
          <w:bCs/>
        </w:rPr>
      </w:pPr>
      <w:bookmarkStart w:id="306" w:name="_Toc20742"/>
      <w:bookmarkStart w:id="307" w:name="_Toc22792"/>
      <w:r>
        <w:rPr>
          <w:rFonts w:hint="eastAsia" w:ascii="黑体" w:hAnsi="黑体" w:cs="黑体"/>
          <w:b w:val="0"/>
          <w:bCs/>
        </w:rPr>
        <w:t>附件</w:t>
      </w:r>
      <w:r>
        <w:rPr>
          <w:rFonts w:hint="eastAsia" w:ascii="黑体" w:hAnsi="黑体" w:cs="黑体"/>
          <w:b w:val="0"/>
          <w:bCs/>
          <w:lang w:val="en-US" w:eastAsia="zh-CN"/>
        </w:rPr>
        <w:t xml:space="preserve"> </w:t>
      </w:r>
      <w:r>
        <w:rPr>
          <w:rFonts w:hint="eastAsia" w:ascii="黑体" w:hAnsi="黑体" w:cs="黑体"/>
          <w:b w:val="0"/>
          <w:bCs/>
        </w:rPr>
        <w:t>1</w:t>
      </w:r>
      <w:bookmarkEnd w:id="306"/>
      <w:r>
        <w:rPr>
          <w:rFonts w:hint="eastAsia" w:ascii="黑体" w:hAnsi="黑体" w:cs="黑体"/>
          <w:b w:val="0"/>
          <w:bCs/>
          <w:lang w:val="en-US" w:eastAsia="zh-CN"/>
        </w:rPr>
        <w:t>-1</w:t>
      </w:r>
      <w:bookmarkEnd w:id="307"/>
    </w:p>
    <w:p>
      <w:pPr>
        <w:pStyle w:val="4"/>
        <w:spacing w:line="460" w:lineRule="exact"/>
        <w:jc w:val="center"/>
        <w:rPr>
          <w:rFonts w:hint="eastAsia" w:ascii="方正小标宋简体" w:hAnsi="方正小标宋简体" w:eastAsia="方正小标宋简体" w:cs="方正小标宋简体"/>
          <w:b w:val="0"/>
          <w:bCs/>
          <w:sz w:val="44"/>
          <w:szCs w:val="44"/>
        </w:rPr>
      </w:pPr>
      <w:bookmarkStart w:id="308" w:name="_Toc18953"/>
      <w:bookmarkStart w:id="309" w:name="_Toc6871"/>
      <w:r>
        <w:rPr>
          <w:rFonts w:hint="eastAsia" w:ascii="方正小标宋简体" w:hAnsi="方正小标宋简体" w:eastAsia="方正小标宋简体" w:cs="方正小标宋简体"/>
          <w:b w:val="0"/>
          <w:bCs/>
          <w:sz w:val="44"/>
          <w:szCs w:val="44"/>
        </w:rPr>
        <w:t>法定代表人授权书</w:t>
      </w:r>
      <w:bookmarkEnd w:id="308"/>
      <w:bookmarkEnd w:id="309"/>
    </w:p>
    <w:p>
      <w:pPr>
        <w:keepNext w:val="0"/>
        <w:keepLines w:val="0"/>
        <w:pageBreakBefore w:val="0"/>
        <w:widowControl w:val="0"/>
        <w:kinsoku/>
        <w:wordWrap/>
        <w:overflowPunct/>
        <w:topLinePunct w:val="0"/>
        <w:autoSpaceDE/>
        <w:autoSpaceDN/>
        <w:bidi w:val="0"/>
        <w:adjustRightInd/>
        <w:snapToGrid/>
        <w:spacing w:before="55" w:line="560" w:lineRule="exact"/>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甘肃省公共资源交易中心</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55" w:line="560" w:lineRule="exact"/>
        <w:ind w:left="17" w:leftChars="0" w:right="0" w:rightChars="0" w:firstLine="56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0"/>
          <w:sz w:val="32"/>
          <w:szCs w:val="32"/>
          <w14:textFill>
            <w14:solidFill>
              <w14:schemeClr w14:val="tx1"/>
            </w14:solidFill>
          </w14:textFill>
        </w:rPr>
        <w:t>本授权书声明：注册</w:t>
      </w:r>
      <w:r>
        <w:rPr>
          <w:rFonts w:hint="eastAsia" w:ascii="仿宋_GB2312" w:hAnsi="仿宋_GB2312" w:eastAsia="仿宋_GB2312" w:cs="仿宋_GB2312"/>
          <w:color w:val="000000" w:themeColor="text1"/>
          <w:spacing w:val="-2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0"/>
          <w:sz w:val="32"/>
          <w:szCs w:val="32"/>
          <w:u w:val="single"/>
          <w14:textFill>
            <w14:solidFill>
              <w14:schemeClr w14:val="tx1"/>
            </w14:solidFill>
          </w14:textFill>
        </w:rPr>
        <w:t>（地址）</w:t>
      </w:r>
      <w:r>
        <w:rPr>
          <w:rFonts w:hint="eastAsia" w:ascii="仿宋_GB2312" w:hAnsi="仿宋_GB2312" w:eastAsia="仿宋_GB2312" w:cs="仿宋_GB2312"/>
          <w:color w:val="000000" w:themeColor="text1"/>
          <w:spacing w:val="-20"/>
          <w:sz w:val="32"/>
          <w:szCs w:val="32"/>
          <w14:textFill>
            <w14:solidFill>
              <w14:schemeClr w14:val="tx1"/>
            </w14:solidFill>
          </w14:textFill>
        </w:rPr>
        <w:t>的</w:t>
      </w:r>
      <w:r>
        <w:rPr>
          <w:rFonts w:hint="eastAsia" w:ascii="仿宋_GB2312" w:hAnsi="仿宋_GB2312" w:eastAsia="仿宋_GB2312" w:cs="仿宋_GB2312"/>
          <w:color w:val="000000" w:themeColor="text1"/>
          <w:spacing w:val="-2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0"/>
          <w:sz w:val="32"/>
          <w:szCs w:val="32"/>
          <w:u w:val="single"/>
          <w14:textFill>
            <w14:solidFill>
              <w14:schemeClr w14:val="tx1"/>
            </w14:solidFill>
          </w14:textFill>
        </w:rPr>
        <w:t>（</w:t>
      </w:r>
      <w:r>
        <w:rPr>
          <w:rFonts w:hint="eastAsia" w:ascii="仿宋_GB2312" w:hAnsi="仿宋_GB2312" w:eastAsia="仿宋_GB2312" w:cs="仿宋_GB2312"/>
          <w:color w:val="000000" w:themeColor="text1"/>
          <w:spacing w:val="-20"/>
          <w:sz w:val="32"/>
          <w:szCs w:val="32"/>
          <w:u w:val="single"/>
          <w:lang w:eastAsia="zh-CN"/>
          <w14:textFill>
            <w14:solidFill>
              <w14:schemeClr w14:val="tx1"/>
            </w14:solidFill>
          </w14:textFill>
        </w:rPr>
        <w:t>公司</w:t>
      </w:r>
      <w:r>
        <w:rPr>
          <w:rFonts w:hint="eastAsia" w:ascii="仿宋_GB2312" w:hAnsi="仿宋_GB2312" w:eastAsia="仿宋_GB2312" w:cs="仿宋_GB2312"/>
          <w:color w:val="000000" w:themeColor="text1"/>
          <w:spacing w:val="-20"/>
          <w:sz w:val="32"/>
          <w:szCs w:val="32"/>
          <w:u w:val="single"/>
          <w14:textFill>
            <w14:solidFill>
              <w14:schemeClr w14:val="tx1"/>
            </w14:solidFill>
          </w14:textFill>
        </w:rPr>
        <w:t>）</w:t>
      </w:r>
      <w:r>
        <w:rPr>
          <w:rFonts w:hint="eastAsia" w:ascii="仿宋_GB2312" w:hAnsi="仿宋_GB2312" w:eastAsia="仿宋_GB2312" w:cs="仿宋_GB2312"/>
          <w:color w:val="000000" w:themeColor="text1"/>
          <w:spacing w:val="-20"/>
          <w:sz w:val="32"/>
          <w:szCs w:val="32"/>
          <w:u w:val="single"/>
          <w:lang w:eastAsia="zh-CN"/>
          <w14:textFill>
            <w14:solidFill>
              <w14:schemeClr w14:val="tx1"/>
            </w14:solidFill>
          </w14:textFill>
        </w:rPr>
        <w:t>的</w:t>
      </w:r>
      <w:r>
        <w:rPr>
          <w:rFonts w:hint="eastAsia" w:ascii="仿宋_GB2312" w:hAnsi="仿宋_GB2312" w:eastAsia="仿宋_GB2312" w:cs="仿宋_GB2312"/>
          <w:color w:val="000000" w:themeColor="text1"/>
          <w:spacing w:val="-2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0"/>
          <w:sz w:val="32"/>
          <w:szCs w:val="32"/>
          <w14:textFill>
            <w14:solidFill>
              <w14:schemeClr w14:val="tx1"/>
            </w14:solidFill>
          </w14:textFill>
        </w:rPr>
        <w:t>（</w:t>
      </w:r>
      <w:r>
        <w:rPr>
          <w:rFonts w:hint="eastAsia" w:ascii="仿宋_GB2312" w:hAnsi="仿宋_GB2312" w:eastAsia="仿宋_GB2312" w:cs="仿宋_GB2312"/>
          <w:color w:val="000000" w:themeColor="text1"/>
          <w:spacing w:val="-20"/>
          <w:sz w:val="32"/>
          <w:szCs w:val="32"/>
          <w:u w:val="single"/>
          <w14:textFill>
            <w14:solidFill>
              <w14:schemeClr w14:val="tx1"/>
            </w14:solidFill>
          </w14:textFill>
        </w:rPr>
        <w:t>法定代表人姓名）</w:t>
      </w:r>
      <w:r>
        <w:rPr>
          <w:rFonts w:hint="eastAsia" w:ascii="仿宋_GB2312" w:hAnsi="仿宋_GB2312" w:eastAsia="仿宋_GB2312" w:cs="仿宋_GB2312"/>
          <w:color w:val="000000" w:themeColor="text1"/>
          <w:spacing w:val="-20"/>
          <w:sz w:val="32"/>
          <w:szCs w:val="32"/>
          <w14:textFill>
            <w14:solidFill>
              <w14:schemeClr w14:val="tx1"/>
            </w14:solidFill>
          </w14:textFill>
        </w:rPr>
        <w:t>授权</w:t>
      </w:r>
      <w:r>
        <w:rPr>
          <w:rFonts w:hint="eastAsia" w:ascii="仿宋_GB2312" w:hAnsi="仿宋_GB2312" w:eastAsia="仿宋_GB2312" w:cs="仿宋_GB2312"/>
          <w:color w:val="000000" w:themeColor="text1"/>
          <w:spacing w:val="-2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0"/>
          <w:sz w:val="32"/>
          <w:szCs w:val="32"/>
          <w:u w:val="single"/>
          <w14:textFill>
            <w14:solidFill>
              <w14:schemeClr w14:val="tx1"/>
            </w14:solidFill>
          </w14:textFill>
        </w:rPr>
        <w:t>（被授权人</w:t>
      </w:r>
      <w:r>
        <w:rPr>
          <w:rFonts w:hint="eastAsia" w:ascii="仿宋_GB2312" w:hAnsi="仿宋_GB2312" w:eastAsia="仿宋_GB2312" w:cs="仿宋_GB2312"/>
          <w:color w:val="000000" w:themeColor="text1"/>
          <w:spacing w:val="-20"/>
          <w:sz w:val="32"/>
          <w:szCs w:val="32"/>
          <w:u w:val="single"/>
          <w:lang w:eastAsia="zh-CN"/>
          <w14:textFill>
            <w14:solidFill>
              <w14:schemeClr w14:val="tx1"/>
            </w14:solidFill>
          </w14:textFill>
        </w:rPr>
        <w:t>的</w:t>
      </w:r>
      <w:r>
        <w:rPr>
          <w:rFonts w:hint="eastAsia" w:ascii="仿宋_GB2312" w:hAnsi="仿宋_GB2312" w:eastAsia="仿宋_GB2312" w:cs="仿宋_GB2312"/>
          <w:color w:val="000000" w:themeColor="text1"/>
          <w:spacing w:val="-20"/>
          <w:sz w:val="32"/>
          <w:szCs w:val="32"/>
          <w:u w:val="single"/>
          <w14:textFill>
            <w14:solidFill>
              <w14:schemeClr w14:val="tx1"/>
            </w14:solidFill>
          </w14:textFill>
        </w:rPr>
        <w:t>姓名</w:t>
      </w:r>
      <w:r>
        <w:rPr>
          <w:rFonts w:hint="eastAsia" w:ascii="仿宋_GB2312" w:hAnsi="仿宋_GB2312" w:eastAsia="仿宋_GB2312" w:cs="仿宋_GB2312"/>
          <w:color w:val="000000" w:themeColor="text1"/>
          <w:spacing w:val="-20"/>
          <w:sz w:val="32"/>
          <w:szCs w:val="32"/>
          <w:u w:val="single"/>
          <w:lang w:eastAsia="zh-CN"/>
          <w14:textFill>
            <w14:solidFill>
              <w14:schemeClr w14:val="tx1"/>
            </w14:solidFill>
          </w14:textFill>
        </w:rPr>
        <w:t>、职务</w:t>
      </w:r>
      <w:r>
        <w:rPr>
          <w:rFonts w:hint="eastAsia" w:ascii="仿宋_GB2312" w:hAnsi="仿宋_GB2312" w:eastAsia="仿宋_GB2312" w:cs="仿宋_GB2312"/>
          <w:color w:val="000000" w:themeColor="text1"/>
          <w:spacing w:val="-20"/>
          <w:sz w:val="32"/>
          <w:szCs w:val="32"/>
          <w:u w:val="single"/>
          <w14:textFill>
            <w14:solidFill>
              <w14:schemeClr w14:val="tx1"/>
            </w14:solidFill>
          </w14:textFill>
        </w:rPr>
        <w:t>）</w:t>
      </w:r>
      <w:r>
        <w:rPr>
          <w:rFonts w:hint="eastAsia" w:ascii="仿宋_GB2312" w:hAnsi="仿宋_GB2312" w:eastAsia="仿宋_GB2312" w:cs="仿宋_GB2312"/>
          <w:color w:val="000000" w:themeColor="text1"/>
          <w:spacing w:val="-20"/>
          <w:sz w:val="32"/>
          <w:szCs w:val="32"/>
          <w14:textFill>
            <w14:solidFill>
              <w14:schemeClr w14:val="tx1"/>
            </w14:solidFill>
          </w14:textFill>
        </w:rPr>
        <w:t>为</w:t>
      </w:r>
      <w:r>
        <w:rPr>
          <w:rFonts w:hint="eastAsia" w:ascii="仿宋_GB2312" w:hAnsi="仿宋_GB2312" w:eastAsia="仿宋_GB2312" w:cs="仿宋_GB2312"/>
          <w:color w:val="000000" w:themeColor="text1"/>
          <w:spacing w:val="-2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t>公司的</w:t>
      </w:r>
      <w:r>
        <w:rPr>
          <w:rFonts w:hint="eastAsia" w:ascii="仿宋_GB2312" w:hAnsi="仿宋_GB2312" w:eastAsia="仿宋_GB2312" w:cs="仿宋_GB2312"/>
          <w:color w:val="000000" w:themeColor="text1"/>
          <w:spacing w:val="-20"/>
          <w:sz w:val="32"/>
          <w:szCs w:val="32"/>
          <w14:textFill>
            <w14:solidFill>
              <w14:schemeClr w14:val="tx1"/>
            </w14:solidFill>
          </w14:textFill>
        </w:rPr>
        <w:t>合法代理人，</w:t>
      </w:r>
      <w:r>
        <w:rPr>
          <w:rFonts w:hint="eastAsia" w:ascii="仿宋_GB2312" w:hAnsi="仿宋_GB2312" w:eastAsia="仿宋_GB2312" w:cs="仿宋_GB2312"/>
          <w:color w:val="000000" w:themeColor="text1"/>
          <w:sz w:val="32"/>
          <w:szCs w:val="32"/>
          <w14:textFill>
            <w14:solidFill>
              <w14:schemeClr w14:val="tx1"/>
            </w14:solidFill>
          </w14:textFill>
        </w:rPr>
        <w:t>就甘肃省</w:t>
      </w:r>
      <w:r>
        <w:rPr>
          <w:rFonts w:hint="eastAsia" w:ascii="仿宋_GB2312" w:hAnsi="仿宋_GB2312" w:eastAsia="仿宋_GB2312" w:cs="仿宋_GB2312"/>
          <w:color w:val="000000" w:themeColor="text1"/>
          <w:sz w:val="32"/>
          <w:szCs w:val="32"/>
          <w:lang w:eastAsia="zh-CN"/>
          <w14:textFill>
            <w14:solidFill>
              <w14:schemeClr w14:val="tx1"/>
            </w14:solidFill>
          </w14:textFill>
        </w:rPr>
        <w:t>甲状腺功能检测</w:t>
      </w:r>
      <w:r>
        <w:rPr>
          <w:rFonts w:hint="eastAsia" w:ascii="仿宋_GB2312" w:hAnsi="仿宋_GB2312" w:eastAsia="仿宋_GB2312" w:cs="仿宋_GB2312"/>
          <w:color w:val="000000" w:themeColor="text1"/>
          <w:sz w:val="32"/>
          <w:szCs w:val="32"/>
          <w14:textFill>
            <w14:solidFill>
              <w14:schemeClr w14:val="tx1"/>
            </w14:solidFill>
          </w14:textFill>
        </w:rPr>
        <w:t>试剂集中带量采购项目，以本公司名义处理递交申报材料等一切与之相关的事务，本公司认可被授权人在《甘肃省</w:t>
      </w:r>
      <w:r>
        <w:rPr>
          <w:rFonts w:hint="eastAsia" w:ascii="仿宋_GB2312" w:hAnsi="仿宋_GB2312" w:eastAsia="仿宋_GB2312" w:cs="仿宋_GB2312"/>
          <w:color w:val="000000" w:themeColor="text1"/>
          <w:sz w:val="32"/>
          <w:szCs w:val="32"/>
          <w:lang w:eastAsia="zh-CN"/>
          <w14:textFill>
            <w14:solidFill>
              <w14:schemeClr w14:val="tx1"/>
            </w14:solidFill>
          </w14:textFill>
        </w:rPr>
        <w:t>甲状腺功能检测</w:t>
      </w:r>
      <w:r>
        <w:rPr>
          <w:rFonts w:hint="eastAsia" w:ascii="仿宋_GB2312" w:hAnsi="仿宋_GB2312" w:eastAsia="仿宋_GB2312" w:cs="仿宋_GB2312"/>
          <w:color w:val="000000" w:themeColor="text1"/>
          <w:sz w:val="32"/>
          <w:szCs w:val="32"/>
          <w14:textFill>
            <w14:solidFill>
              <w14:schemeClr w14:val="tx1"/>
            </w14:solidFill>
          </w14:textFill>
        </w:rPr>
        <w:t>试剂集中带量采购文件》(采购文件编号:</w:t>
      </w:r>
      <w:r>
        <w:rPr>
          <w:rFonts w:hint="eastAsia" w:ascii="仿宋_GB2312" w:hAnsi="宋体" w:eastAsia="仿宋_GB2312" w:cs="仿宋_GB2312"/>
          <w:i w:val="0"/>
          <w:caps w:val="0"/>
          <w:color w:val="333333"/>
          <w:spacing w:val="0"/>
          <w:kern w:val="0"/>
          <w:sz w:val="32"/>
          <w:szCs w:val="32"/>
          <w:shd w:val="clear" w:color="auto" w:fill="FFFFFF"/>
          <w:lang w:val="en-US" w:eastAsia="zh-CN" w:bidi="ar"/>
        </w:rPr>
        <w:t>GS-IVDDLCG2024-1</w:t>
      </w:r>
      <w:r>
        <w:rPr>
          <w:rFonts w:hint="eastAsia" w:ascii="仿宋_GB2312" w:hAnsi="仿宋_GB2312" w:eastAsia="仿宋_GB2312" w:cs="仿宋_GB2312"/>
          <w:color w:val="000000" w:themeColor="text1"/>
          <w:sz w:val="32"/>
          <w:szCs w:val="32"/>
          <w14:textFill>
            <w14:solidFill>
              <w14:schemeClr w14:val="tx1"/>
            </w14:solidFill>
          </w14:textFill>
        </w:rPr>
        <w:t>)项目中签署的相关说明、采购协议等法律文书的效力以及其作出的相关行为。本公司与被授权人共同承诺本次申报的真实性、合法性、有效性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55" w:line="560" w:lineRule="exact"/>
        <w:ind w:left="17"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本授权书于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日签字生效，有效期至本次甘肃省</w:t>
      </w:r>
      <w:r>
        <w:rPr>
          <w:rFonts w:hint="eastAsia" w:ascii="仿宋_GB2312" w:hAnsi="仿宋_GB2312" w:eastAsia="仿宋_GB2312" w:cs="仿宋_GB2312"/>
          <w:color w:val="000000" w:themeColor="text1"/>
          <w:sz w:val="32"/>
          <w:szCs w:val="32"/>
          <w:lang w:eastAsia="zh-CN"/>
          <w14:textFill>
            <w14:solidFill>
              <w14:schemeClr w14:val="tx1"/>
            </w14:solidFill>
          </w14:textFill>
        </w:rPr>
        <w:t>甲状腺功能检测</w:t>
      </w:r>
      <w:r>
        <w:rPr>
          <w:rFonts w:hint="eastAsia" w:ascii="仿宋_GB2312" w:hAnsi="仿宋_GB2312" w:eastAsia="仿宋_GB2312" w:cs="仿宋_GB2312"/>
          <w:color w:val="000000" w:themeColor="text1"/>
          <w:sz w:val="32"/>
          <w:szCs w:val="32"/>
          <w14:textFill>
            <w14:solidFill>
              <w14:schemeClr w14:val="tx1"/>
            </w14:solidFill>
          </w14:textFill>
        </w:rPr>
        <w:t>试剂集中带量采购工作截止日止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55" w:line="560" w:lineRule="exact"/>
        <w:ind w:left="17"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特此声明。</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9"/>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0"/>
          <w:sz w:val="32"/>
          <w:szCs w:val="32"/>
          <w14:textFill>
            <w14:solidFill>
              <w14:schemeClr w14:val="tx1"/>
            </w14:solidFill>
          </w14:textFill>
        </w:rPr>
        <w:t>授权</w:t>
      </w:r>
      <w:r>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t>企业法定代表人签字或盖章：</w:t>
      </w: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仿宋_GB2312" w:hAnsi="仿宋_GB2312" w:eastAsia="仿宋_GB2312" w:cs="仿宋_GB2312"/>
          <w:color w:val="000000" w:themeColor="text1"/>
          <w:spacing w:val="-20"/>
          <w:sz w:val="32"/>
          <w:szCs w:val="32"/>
          <w14:textFill>
            <w14:solidFill>
              <w14:schemeClr w14:val="tx1"/>
            </w14:solidFill>
          </w14:textFill>
        </w:rPr>
      </w:pPr>
      <w:r>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t>被授权人签字或盖章</w:t>
      </w:r>
      <w:r>
        <w:rPr>
          <w:rFonts w:hint="eastAsia" w:ascii="仿宋_GB2312" w:hAnsi="仿宋_GB2312" w:eastAsia="仿宋_GB2312" w:cs="仿宋_GB2312"/>
          <w:color w:val="000000" w:themeColor="text1"/>
          <w:spacing w:val="-2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仿宋_GB2312" w:hAnsi="仿宋_GB2312" w:eastAsia="仿宋_GB2312" w:cs="仿宋_GB2312"/>
          <w:color w:val="000000" w:themeColor="text1"/>
          <w:spacing w:val="-20"/>
          <w:sz w:val="32"/>
          <w:szCs w:val="32"/>
          <w14:textFill>
            <w14:solidFill>
              <w14:schemeClr w14:val="tx1"/>
            </w14:solidFill>
          </w14:textFill>
        </w:rPr>
      </w:pPr>
      <w:r>
        <w:rPr>
          <w:rFonts w:hint="eastAsia" w:ascii="仿宋_GB2312" w:hAnsi="仿宋_GB2312" w:eastAsia="仿宋_GB2312" w:cs="仿宋_GB2312"/>
          <w:color w:val="000000" w:themeColor="text1"/>
          <w:spacing w:val="-20"/>
          <w:sz w:val="32"/>
          <w:szCs w:val="32"/>
          <w14:textFill>
            <w14:solidFill>
              <w14:schemeClr w14:val="tx1"/>
            </w14:solidFill>
          </w14:textFill>
        </w:rPr>
        <w:t>被授权人</w:t>
      </w:r>
      <w:r>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t>联系方式（</w:t>
      </w:r>
      <w:r>
        <w:rPr>
          <w:rFonts w:hint="eastAsia" w:ascii="仿宋_GB2312" w:hAnsi="仿宋_GB2312" w:eastAsia="仿宋_GB2312" w:cs="仿宋_GB2312"/>
          <w:color w:val="000000" w:themeColor="text1"/>
          <w:spacing w:val="-20"/>
          <w:sz w:val="32"/>
          <w:szCs w:val="32"/>
          <w14:textFill>
            <w14:solidFill>
              <w14:schemeClr w14:val="tx1"/>
            </w14:solidFill>
          </w14:textFill>
        </w:rPr>
        <w:t>手机</w:t>
      </w:r>
      <w:r>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0"/>
          <w:sz w:val="32"/>
          <w:szCs w:val="32"/>
          <w14:textFill>
            <w14:solidFill>
              <w14:schemeClr w14:val="tx1"/>
            </w14:solidFill>
          </w14:textFill>
        </w:rPr>
        <w:t xml:space="preserve">：                      </w:t>
      </w:r>
    </w:p>
    <w:p>
      <w:pPr>
        <w:autoSpaceDE/>
        <w:autoSpaceDN/>
        <w:adjustRightInd/>
        <w:spacing w:before="55" w:line="219" w:lineRule="auto"/>
        <w:ind w:left="17"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2632075</wp:posOffset>
                </wp:positionH>
                <wp:positionV relativeFrom="paragraph">
                  <wp:posOffset>54610</wp:posOffset>
                </wp:positionV>
                <wp:extent cx="2936875" cy="943610"/>
                <wp:effectExtent l="4445" t="4445" r="11430" b="23495"/>
                <wp:wrapNone/>
                <wp:docPr id="7" name="文本框 7"/>
                <wp:cNvGraphicFramePr/>
                <a:graphic xmlns:a="http://schemas.openxmlformats.org/drawingml/2006/main">
                  <a:graphicData uri="http://schemas.microsoft.com/office/word/2010/wordprocessingShape">
                    <wps:wsp>
                      <wps:cNvSpPr txBox="1"/>
                      <wps:spPr>
                        <a:xfrm>
                          <a:off x="4148455" y="6263005"/>
                          <a:ext cx="2936875" cy="9436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宋体" w:hAnsi="宋体"/>
                                <w:b/>
                                <w:sz w:val="28"/>
                              </w:rPr>
                            </w:pPr>
                            <w:r>
                              <w:rPr>
                                <w:rFonts w:hint="eastAsia" w:ascii="宋体" w:hAnsi="宋体"/>
                                <w:b/>
                                <w:sz w:val="28"/>
                              </w:rPr>
                              <w:t>被授权人</w:t>
                            </w:r>
                          </w:p>
                          <w:p>
                            <w:pPr>
                              <w:spacing w:line="360" w:lineRule="auto"/>
                              <w:jc w:val="center"/>
                              <w:rPr>
                                <w:rFonts w:ascii="仿宋_GB2312" w:hAnsi="宋体"/>
                                <w:sz w:val="24"/>
                              </w:rPr>
                            </w:pPr>
                            <w:r>
                              <w:rPr>
                                <w:rFonts w:hint="eastAsia" w:ascii="宋体" w:hAnsi="宋体"/>
                                <w:b/>
                                <w:sz w:val="28"/>
                              </w:rPr>
                              <w:t>居民身份证</w:t>
                            </w:r>
                            <w:r>
                              <w:rPr>
                                <w:rFonts w:hint="eastAsia" w:ascii="宋体" w:hAnsi="宋体"/>
                                <w:b/>
                                <w:sz w:val="28"/>
                                <w:lang w:eastAsia="zh-CN"/>
                              </w:rPr>
                              <w:t>反面</w:t>
                            </w:r>
                            <w:r>
                              <w:rPr>
                                <w:rFonts w:hint="eastAsia" w:ascii="宋体" w:hAnsi="宋体"/>
                                <w:b/>
                                <w:sz w:val="28"/>
                              </w:rPr>
                              <w:t>复印件粘贴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7.25pt;margin-top:4.3pt;height:74.3pt;width:231.25pt;z-index:251660288;mso-width-relative:page;mso-height-relative:page;" fillcolor="#CCE8CF [3201]" filled="t" stroked="t" coordsize="21600,21600" o:gfxdata="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wPGds2QAAAAkBAAAPAAAAAAAAAAEAIAAAACIAAABkcnMvZG93bnJldi54&#10;bWxQSwECFAAUAAAACACHTuJAw6Lc82sCAADDBAAADgAAAAAAAAABACAAAAAoAQAAZHJzL2Uyb0Rv&#10;Yy54bWxQSwUGAAAAAAYABgBZAQAABQYAAAAA&#10;">
                <v:fill on="t" focussize="0,0"/>
                <v:stroke weight="0.5pt" color="#000000 [3204]" joinstyle="round"/>
                <v:imagedata o:title=""/>
                <o:lock v:ext="edit" aspectratio="f"/>
                <v:textbox>
                  <w:txbxContent>
                    <w:p>
                      <w:pPr>
                        <w:spacing w:line="360" w:lineRule="auto"/>
                        <w:jc w:val="center"/>
                        <w:rPr>
                          <w:rFonts w:hint="eastAsia" w:ascii="宋体" w:hAnsi="宋体"/>
                          <w:b/>
                          <w:sz w:val="28"/>
                        </w:rPr>
                      </w:pPr>
                      <w:r>
                        <w:rPr>
                          <w:rFonts w:hint="eastAsia" w:ascii="宋体" w:hAnsi="宋体"/>
                          <w:b/>
                          <w:sz w:val="28"/>
                        </w:rPr>
                        <w:t>被授权人</w:t>
                      </w:r>
                    </w:p>
                    <w:p>
                      <w:pPr>
                        <w:spacing w:line="360" w:lineRule="auto"/>
                        <w:jc w:val="center"/>
                        <w:rPr>
                          <w:rFonts w:ascii="仿宋_GB2312" w:hAnsi="宋体"/>
                          <w:sz w:val="24"/>
                        </w:rPr>
                      </w:pPr>
                      <w:r>
                        <w:rPr>
                          <w:rFonts w:hint="eastAsia" w:ascii="宋体" w:hAnsi="宋体"/>
                          <w:b/>
                          <w:sz w:val="28"/>
                        </w:rPr>
                        <w:t>居民身份证</w:t>
                      </w:r>
                      <w:r>
                        <w:rPr>
                          <w:rFonts w:hint="eastAsia" w:ascii="宋体" w:hAnsi="宋体"/>
                          <w:b/>
                          <w:sz w:val="28"/>
                          <w:lang w:eastAsia="zh-CN"/>
                        </w:rPr>
                        <w:t>反面</w:t>
                      </w:r>
                      <w:r>
                        <w:rPr>
                          <w:rFonts w:hint="eastAsia" w:ascii="宋体" w:hAnsi="宋体"/>
                          <w:b/>
                          <w:sz w:val="28"/>
                        </w:rPr>
                        <w:t>复印件粘贴</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51435</wp:posOffset>
                </wp:positionV>
                <wp:extent cx="2824480" cy="934720"/>
                <wp:effectExtent l="4445" t="4445" r="9525" b="13335"/>
                <wp:wrapNone/>
                <wp:docPr id="6" name="文本框 6"/>
                <wp:cNvGraphicFramePr/>
                <a:graphic xmlns:a="http://schemas.openxmlformats.org/drawingml/2006/main">
                  <a:graphicData uri="http://schemas.microsoft.com/office/word/2010/wordprocessingShape">
                    <wps:wsp>
                      <wps:cNvSpPr txBox="1"/>
                      <wps:spPr>
                        <a:xfrm>
                          <a:off x="1455420" y="6289040"/>
                          <a:ext cx="2824480" cy="934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宋体" w:hAnsi="宋体"/>
                                <w:b/>
                                <w:sz w:val="28"/>
                                <w:lang w:eastAsia="zh-CN"/>
                              </w:rPr>
                            </w:pPr>
                            <w:r>
                              <w:rPr>
                                <w:rFonts w:hint="eastAsia" w:ascii="宋体" w:hAnsi="宋体"/>
                                <w:b/>
                                <w:sz w:val="28"/>
                                <w:lang w:eastAsia="zh-CN"/>
                              </w:rPr>
                              <w:t>被授权人</w:t>
                            </w:r>
                          </w:p>
                          <w:p>
                            <w:pPr>
                              <w:spacing w:line="360" w:lineRule="auto"/>
                              <w:jc w:val="center"/>
                            </w:pPr>
                            <w:r>
                              <w:rPr>
                                <w:rFonts w:hint="eastAsia" w:ascii="宋体" w:hAnsi="宋体"/>
                                <w:b/>
                                <w:sz w:val="28"/>
                              </w:rPr>
                              <w:t>居民身份证</w:t>
                            </w:r>
                            <w:r>
                              <w:rPr>
                                <w:rFonts w:hint="eastAsia" w:ascii="宋体" w:hAnsi="宋体"/>
                                <w:b/>
                                <w:sz w:val="28"/>
                                <w:lang w:eastAsia="zh-CN"/>
                              </w:rPr>
                              <w:t>正面</w:t>
                            </w:r>
                            <w:r>
                              <w:rPr>
                                <w:rFonts w:hint="eastAsia" w:ascii="宋体" w:hAnsi="宋体"/>
                                <w:b/>
                                <w:sz w:val="28"/>
                              </w:rPr>
                              <w:t>复印件粘贴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pt;margin-top:4.05pt;height:73.6pt;width:222.4pt;z-index:251659264;mso-width-relative:page;mso-height-relative:page;" fillcolor="#CCE8CF [3201]" filled="t" stroked="t" coordsize="21600,21600" o:gfxdata="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Ri8kbZAAAACQEAAA8AAAAAAAAAAQAgAAAAIgAAAGRycy9kb3ducmV2LnhtbFBLAQIU&#10;ABQAAAAIAIdO4kCaYyQoZAIAAMMEAAAOAAAAAAAAAAEAIAAAACgBAABkcnMvZTJvRG9jLnhtbFBL&#10;BQYAAAAABgAGAFkBAAD+BQAAAAA=&#10;">
                <v:fill on="t" focussize="0,0"/>
                <v:stroke weight="0.5pt" color="#000000 [3204]" joinstyle="round"/>
                <v:imagedata o:title=""/>
                <o:lock v:ext="edit" aspectratio="f"/>
                <v:textbox>
                  <w:txbxContent>
                    <w:p>
                      <w:pPr>
                        <w:spacing w:line="360" w:lineRule="auto"/>
                        <w:jc w:val="center"/>
                        <w:rPr>
                          <w:rFonts w:hint="eastAsia" w:ascii="宋体" w:hAnsi="宋体"/>
                          <w:b/>
                          <w:sz w:val="28"/>
                          <w:lang w:eastAsia="zh-CN"/>
                        </w:rPr>
                      </w:pPr>
                      <w:r>
                        <w:rPr>
                          <w:rFonts w:hint="eastAsia" w:ascii="宋体" w:hAnsi="宋体"/>
                          <w:b/>
                          <w:sz w:val="28"/>
                          <w:lang w:eastAsia="zh-CN"/>
                        </w:rPr>
                        <w:t>被授权人</w:t>
                      </w:r>
                    </w:p>
                    <w:p>
                      <w:pPr>
                        <w:spacing w:line="360" w:lineRule="auto"/>
                        <w:jc w:val="center"/>
                      </w:pPr>
                      <w:r>
                        <w:rPr>
                          <w:rFonts w:hint="eastAsia" w:ascii="宋体" w:hAnsi="宋体"/>
                          <w:b/>
                          <w:sz w:val="28"/>
                        </w:rPr>
                        <w:t>居民身份证</w:t>
                      </w:r>
                      <w:r>
                        <w:rPr>
                          <w:rFonts w:hint="eastAsia" w:ascii="宋体" w:hAnsi="宋体"/>
                          <w:b/>
                          <w:sz w:val="28"/>
                          <w:lang w:eastAsia="zh-CN"/>
                        </w:rPr>
                        <w:t>正面</w:t>
                      </w:r>
                      <w:r>
                        <w:rPr>
                          <w:rFonts w:hint="eastAsia" w:ascii="宋体" w:hAnsi="宋体"/>
                          <w:b/>
                          <w:sz w:val="28"/>
                        </w:rPr>
                        <w:t>复印件粘贴</w:t>
                      </w:r>
                    </w:p>
                  </w:txbxContent>
                </v:textbox>
              </v:shape>
            </w:pict>
          </mc:Fallback>
        </mc:AlternateContent>
      </w:r>
    </w:p>
    <w:p>
      <w:pPr>
        <w:pStyle w:val="2"/>
        <w:rPr>
          <w:rFonts w:hint="eastAsia" w:ascii="仿宋_GB2312" w:hAnsi="仿宋_GB2312" w:eastAsia="仿宋_GB2312" w:cs="仿宋_GB2312"/>
          <w:color w:val="000000" w:themeColor="text1"/>
          <w:sz w:val="32"/>
          <w:szCs w:val="32"/>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注：身份证粘贴处要加盖企业鲜章</w:t>
      </w:r>
    </w:p>
    <w:p>
      <w:pP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br w:type="page"/>
      </w:r>
    </w:p>
    <w:p>
      <w:pPr>
        <w:pStyle w:val="4"/>
        <w:spacing w:line="520" w:lineRule="exact"/>
        <w:rPr>
          <w:rFonts w:hint="eastAsia" w:ascii="黑体" w:hAnsi="黑体" w:cs="黑体"/>
          <w:b w:val="0"/>
          <w:bCs/>
        </w:rPr>
      </w:pPr>
      <w:bookmarkStart w:id="310" w:name="_Toc11499"/>
      <w:bookmarkStart w:id="311" w:name="_Toc14040"/>
      <w:r>
        <w:rPr>
          <w:rFonts w:hint="eastAsia" w:ascii="黑体" w:hAnsi="黑体" w:cs="黑体"/>
          <w:b w:val="0"/>
          <w:bCs/>
        </w:rPr>
        <w:t xml:space="preserve">附件 </w:t>
      </w:r>
      <w:r>
        <w:rPr>
          <w:rFonts w:hint="eastAsia" w:ascii="黑体" w:hAnsi="黑体" w:cs="黑体"/>
          <w:b w:val="0"/>
          <w:bCs/>
          <w:lang w:val="en-US" w:eastAsia="zh-CN"/>
        </w:rPr>
        <w:t>1-</w:t>
      </w:r>
      <w:r>
        <w:rPr>
          <w:rFonts w:hint="eastAsia" w:ascii="黑体" w:hAnsi="黑体" w:cs="黑体"/>
          <w:b w:val="0"/>
          <w:bCs/>
        </w:rPr>
        <w:t>2</w:t>
      </w:r>
      <w:bookmarkEnd w:id="310"/>
      <w:bookmarkEnd w:id="311"/>
    </w:p>
    <w:p>
      <w:pPr>
        <w:pStyle w:val="4"/>
        <w:spacing w:line="520" w:lineRule="exact"/>
        <w:jc w:val="center"/>
        <w:rPr>
          <w:rFonts w:hint="eastAsia" w:ascii="方正小标宋简体" w:hAnsi="方正小标宋简体" w:eastAsia="方正小标宋简体" w:cs="方正小标宋简体"/>
          <w:b w:val="0"/>
          <w:bCs/>
          <w:sz w:val="44"/>
          <w:szCs w:val="44"/>
        </w:rPr>
      </w:pPr>
      <w:bookmarkStart w:id="312" w:name="_Toc29131"/>
      <w:bookmarkStart w:id="313" w:name="_Toc1513"/>
      <w:r>
        <w:rPr>
          <w:rFonts w:hint="eastAsia" w:ascii="方正小标宋简体" w:hAnsi="方正小标宋简体" w:eastAsia="方正小标宋简体" w:cs="方正小标宋简体"/>
          <w:b w:val="0"/>
          <w:bCs/>
          <w:sz w:val="44"/>
          <w:szCs w:val="44"/>
          <w:lang w:eastAsia="zh-CN"/>
        </w:rPr>
        <w:t>甘肃省甲状腺功能检测</w:t>
      </w:r>
      <w:r>
        <w:rPr>
          <w:rFonts w:hint="eastAsia" w:ascii="方正小标宋简体" w:hAnsi="方正小标宋简体" w:eastAsia="方正小标宋简体" w:cs="方正小标宋简体"/>
          <w:b w:val="0"/>
          <w:bCs/>
          <w:sz w:val="44"/>
          <w:szCs w:val="44"/>
        </w:rPr>
        <w:t>试剂</w:t>
      </w:r>
      <w:bookmarkEnd w:id="312"/>
      <w:bookmarkEnd w:id="313"/>
    </w:p>
    <w:p>
      <w:pPr>
        <w:pStyle w:val="4"/>
        <w:spacing w:line="520" w:lineRule="exact"/>
        <w:jc w:val="center"/>
        <w:rPr>
          <w:rFonts w:hint="eastAsia" w:ascii="方正小标宋简体" w:hAnsi="方正小标宋简体" w:eastAsia="方正小标宋简体" w:cs="方正小标宋简体"/>
          <w:b w:val="0"/>
          <w:bCs/>
          <w:sz w:val="44"/>
          <w:szCs w:val="44"/>
          <w:lang w:eastAsia="zh-CN"/>
        </w:rPr>
      </w:pPr>
      <w:bookmarkStart w:id="314" w:name="_Toc5317"/>
      <w:bookmarkStart w:id="315" w:name="_Toc6507"/>
      <w:r>
        <w:rPr>
          <w:rFonts w:hint="eastAsia" w:ascii="方正小标宋简体" w:hAnsi="方正小标宋简体" w:eastAsia="方正小标宋简体" w:cs="方正小标宋简体"/>
          <w:b w:val="0"/>
          <w:bCs/>
          <w:sz w:val="44"/>
          <w:szCs w:val="44"/>
        </w:rPr>
        <w:t>集中带量采购申报函</w:t>
      </w:r>
      <w:bookmarkEnd w:id="314"/>
      <w:r>
        <w:rPr>
          <w:rFonts w:hint="eastAsia" w:ascii="方正小标宋简体" w:hAnsi="方正小标宋简体" w:eastAsia="方正小标宋简体" w:cs="方正小标宋简体"/>
          <w:b w:val="0"/>
          <w:bCs/>
          <w:sz w:val="44"/>
          <w:szCs w:val="44"/>
          <w:lang w:eastAsia="zh-CN"/>
        </w:rPr>
        <w:t>及信用承诺书</w:t>
      </w:r>
      <w:bookmarkEnd w:id="315"/>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甘肃省公共资源交易中心</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17"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在审阅所有集中采购文件后，我方决定按照采购文件的规定参与申报。我方保证申报价格及所提供全部证明材料的真实性、合法性、有效性。我方完全理解并遵守采购文件中的中选产品确认准则。</w:t>
      </w:r>
    </w:p>
    <w:p>
      <w:pPr>
        <w:keepNext w:val="0"/>
        <w:keepLines w:val="0"/>
        <w:pageBreakBefore w:val="0"/>
        <w:widowControl w:val="0"/>
        <w:kinsoku/>
        <w:wordWrap/>
        <w:overflowPunct/>
        <w:topLinePunct w:val="0"/>
        <w:autoSpaceDE/>
        <w:autoSpaceDN/>
        <w:bidi w:val="0"/>
        <w:adjustRightInd/>
        <w:snapToGrid/>
        <w:spacing w:line="480" w:lineRule="exact"/>
        <w:ind w:left="17"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日起至今，申报企业在医用耗材生产活动中无严重违法记录；无因违反相关职能部门管理规定产品被撤销挂网的记录。</w:t>
      </w:r>
    </w:p>
    <w:p>
      <w:pPr>
        <w:keepNext w:val="0"/>
        <w:keepLines w:val="0"/>
        <w:pageBreakBefore w:val="0"/>
        <w:widowControl w:val="0"/>
        <w:kinsoku/>
        <w:wordWrap/>
        <w:overflowPunct/>
        <w:topLinePunct w:val="0"/>
        <w:autoSpaceDE/>
        <w:autoSpaceDN/>
        <w:bidi w:val="0"/>
        <w:adjustRightInd/>
        <w:snapToGrid/>
        <w:spacing w:line="480" w:lineRule="exact"/>
        <w:ind w:left="17"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日起至今，申报企业不存在因申报品种质量等问题被省级(含)以上药品监督管理部门处罚并公告的情况；申报品种不存在省级(含)以上药品监督管理部门质量检验不合格的情况。</w:t>
      </w:r>
    </w:p>
    <w:p>
      <w:pPr>
        <w:keepNext w:val="0"/>
        <w:keepLines w:val="0"/>
        <w:pageBreakBefore w:val="0"/>
        <w:widowControl w:val="0"/>
        <w:kinsoku/>
        <w:wordWrap/>
        <w:overflowPunct/>
        <w:topLinePunct w:val="0"/>
        <w:autoSpaceDE/>
        <w:autoSpaceDN/>
        <w:bidi w:val="0"/>
        <w:adjustRightInd/>
        <w:snapToGrid/>
        <w:spacing w:line="480" w:lineRule="exact"/>
        <w:ind w:left="17"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我方已充分考虑到原材料价格等因素，并以此申报价格。如果我方产品中选，</w:t>
      </w:r>
      <w:r>
        <w:rPr>
          <w:rFonts w:hint="eastAsia" w:ascii="仿宋_GB2312" w:hAnsi="仿宋_GB2312" w:eastAsia="仿宋_GB2312" w:cs="仿宋_GB2312"/>
          <w:color w:val="000000" w:themeColor="text1"/>
          <w:sz w:val="32"/>
          <w:szCs w:val="32"/>
          <w:lang w:eastAsia="zh-CN"/>
          <w14:textFill>
            <w14:solidFill>
              <w14:schemeClr w14:val="tx1"/>
            </w14:solidFill>
          </w14:textFill>
        </w:rPr>
        <w:t>我方或我方委托的配送企业</w:t>
      </w:r>
      <w:r>
        <w:rPr>
          <w:rFonts w:hint="eastAsia" w:ascii="仿宋_GB2312" w:hAnsi="仿宋_GB2312" w:eastAsia="仿宋_GB2312" w:cs="仿宋_GB2312"/>
          <w:color w:val="000000" w:themeColor="text1"/>
          <w:sz w:val="32"/>
          <w:szCs w:val="32"/>
          <w14:textFill>
            <w14:solidFill>
              <w14:schemeClr w14:val="tx1"/>
            </w14:solidFill>
          </w14:textFill>
        </w:rPr>
        <w:t>应向医疗机构提供必要的伴随服务，伴随服务应包含但不限于物流配送、仓储管理、合规技术服务支持、对医疗机构进行使用操作培训等必需的相关服务，服务内容、质量、标准不得低于集中带量采购前。确保中选产品的价格、质量和数量等一切要素按照购销合同履行。</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我方</w:t>
      </w:r>
      <w:r>
        <w:rPr>
          <w:rFonts w:ascii="Times New Roman" w:hAnsi="Times New Roman" w:eastAsia="仿宋_GB2312" w:cs="Times New Roman"/>
          <w:color w:val="000000" w:themeColor="text1"/>
          <w:sz w:val="32"/>
          <w:szCs w:val="32"/>
          <w14:textFill>
            <w14:solidFill>
              <w14:schemeClr w14:val="tx1"/>
            </w14:solidFill>
          </w14:textFill>
        </w:rPr>
        <w:t>郑重做出以下承诺：</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一、严守法纪、恪守诚信</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（一）自觉遵守</w:t>
      </w: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HYPERLINK "https://wenda.so.com/q/1606963580217661?src=110" \t "https://www.so.com/_blank" </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《民法典》</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《价格法》《药品管理法》《反不正当竞争法》《反垄断法》等法律法规，医药价格和招标采购的政策，以及</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2024年甘肃省甲状腺功能检测试剂集中带量采购文件</w:t>
      </w:r>
      <w:r>
        <w:rPr>
          <w:rFonts w:ascii="Times New Roman" w:hAnsi="Times New Roman" w:eastAsia="仿宋_GB2312" w:cs="Times New Roman"/>
          <w:color w:val="000000" w:themeColor="text1"/>
          <w:sz w:val="32"/>
          <w:szCs w:val="32"/>
          <w14:textFill>
            <w14:solidFill>
              <w14:schemeClr w14:val="tx1"/>
            </w14:solidFill>
          </w14:textFill>
        </w:rPr>
        <w:t>之规定，诚信经营，共同营造公平的交易环境。</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（二）不向采购我方医用耗材的医疗机构管理人员、采购人员、医师、药师等有关人员给予回扣或其他不正当利益。</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（三）不实施虚开虚受增值税发票及其他形式虚构服务套现洗钱行为。</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（四）不利用医用耗材垄断地位或市场支配地位，操纵医用耗材价格和供应牟取暴利。不针对不同群体、不同渠道制定实施明显不合理的差异化定价。</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二、履行合同、配合监管</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（一）具有履行协议必须具备的医用耗材供应能力，除我方不可抗的因素造成供应困难外，保证在采购周期按照中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选</w:t>
      </w:r>
      <w:r>
        <w:rPr>
          <w:rFonts w:ascii="Times New Roman" w:hAnsi="Times New Roman" w:eastAsia="仿宋_GB2312" w:cs="Times New Roman"/>
          <w:color w:val="000000" w:themeColor="text1"/>
          <w:sz w:val="32"/>
          <w:szCs w:val="32"/>
          <w14:textFill>
            <w14:solidFill>
              <w14:schemeClr w14:val="tx1"/>
            </w14:solidFill>
          </w14:textFill>
        </w:rPr>
        <w:t>价格及时足量供应医用耗材，满足临床需求。</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（三）及时、全面、完整、规范申报失信信息，不漏报，不瞒报，不推诿。</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三、违约担责，接受处置</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（一）如我方医用耗材购销中存在违背已承诺事项的，我方愿意接受集中采购机构作出的信用评级结果以及结合信用等级实施的处置措施。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严格约束委托代理人（具有委托代理关系的法人和自然人）在法律允许的范围内从事经营活动。如果受我方委托代理人，因涉及我方医用耗材的回扣等医药商业贿赂行为，受到司法机关、行政执法机关惩处，我方承诺</w:t>
      </w:r>
      <w:r>
        <w:rPr>
          <w:rFonts w:hint="eastAsia" w:ascii="Times New Roman" w:hAnsi="Times New Roman" w:eastAsia="仿宋_GB2312" w:cs="Times New Roman"/>
          <w:color w:val="000000" w:themeColor="text1"/>
          <w:sz w:val="32"/>
          <w:szCs w:val="32"/>
          <w14:textFill>
            <w14:solidFill>
              <w14:schemeClr w14:val="tx1"/>
            </w14:solidFill>
          </w14:textFill>
        </w:rPr>
        <w:t>自法院判决或部门行政处罚决定生效之日起，30日（自然日）内向案件发生地的省级集中采购机构提供书面报告。</w:t>
      </w:r>
      <w:r>
        <w:rPr>
          <w:rFonts w:ascii="Times New Roman" w:hAnsi="Times New Roman" w:eastAsia="仿宋_GB2312" w:cs="Times New Roman"/>
          <w:color w:val="000000" w:themeColor="text1"/>
          <w:sz w:val="32"/>
          <w:szCs w:val="32"/>
          <w14:textFill>
            <w14:solidFill>
              <w14:schemeClr w14:val="tx1"/>
            </w14:solidFill>
          </w14:textFill>
        </w:rPr>
        <w:t>承担失信违约责任，接受集中采购机构作出的信用评级结果以及结合信用等级实施的处置措施。</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（四）主动维护良好信用，必要时采取切实措施修复信用。</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pStyle w:val="2"/>
      </w:pP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承诺企业(盖章):</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法定代表人（签字）:</w:t>
      </w:r>
    </w:p>
    <w:p>
      <w:pPr>
        <w:keepNext w:val="0"/>
        <w:keepLines w:val="0"/>
        <w:pageBreakBefore w:val="0"/>
        <w:widowControl/>
        <w:kinsoku/>
        <w:wordWrap/>
        <w:overflowPunct/>
        <w:topLinePunct w:val="0"/>
        <w:autoSpaceDE/>
        <w:autoSpaceDN/>
        <w:bidi w:val="0"/>
        <w:adjustRightInd/>
        <w:snapToGrid/>
        <w:spacing w:before="0" w:line="560" w:lineRule="exact"/>
        <w:ind w:right="0" w:rightChars="0" w:firstLine="4480" w:firstLineChars="14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日</w:t>
      </w:r>
    </w:p>
    <w:sectPr>
      <w:footerReference r:id="rId5" w:type="default"/>
      <w:pgSz w:w="11906" w:h="16838"/>
      <w:pgMar w:top="1928" w:right="1587" w:bottom="1474" w:left="1587" w:header="851" w:footer="1361"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0916FAC-E3C3-40B5-A90B-A678C1CB6E09}"/>
  </w:font>
  <w:font w:name="黑体">
    <w:panose1 w:val="02010609060101010101"/>
    <w:charset w:val="86"/>
    <w:family w:val="auto"/>
    <w:pitch w:val="default"/>
    <w:sig w:usb0="800002BF" w:usb1="38CF7CFA" w:usb2="00000016" w:usb3="00000000" w:csb0="00040001" w:csb1="00000000"/>
    <w:embedRegular r:id="rId2" w:fontKey="{FE5DB144-A775-4425-BD91-C0FB29F22E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decorative"/>
    <w:pitch w:val="default"/>
    <w:sig w:usb0="00000000" w:usb1="00000000" w:usb2="00000000" w:usb3="00000000" w:csb0="00040000" w:csb1="00000000"/>
  </w:font>
  <w:font w:name="Cambria">
    <w:panose1 w:val="02040503050406030204"/>
    <w:charset w:val="00"/>
    <w:family w:val="modern"/>
    <w:pitch w:val="default"/>
    <w:sig w:usb0="E00002FF" w:usb1="400004FF" w:usb2="00000000" w:usb3="00000000" w:csb0="2000019F" w:csb1="00000000"/>
  </w:font>
  <w:font w:name="方正黑体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880F6BBE-E98D-4141-82CE-D5469355102A}"/>
  </w:font>
  <w:font w:name="Arial Unicode MS">
    <w:panose1 w:val="020B0604020202020204"/>
    <w:charset w:val="86"/>
    <w:family w:val="auto"/>
    <w:pitch w:val="default"/>
    <w:sig w:usb0="FFFFFFFF" w:usb1="E9FFFFFF" w:usb2="0000003F" w:usb3="00000000" w:csb0="603F01FF" w:csb1="FFFF0000"/>
    <w:embedRegular r:id="rId4" w:fontKey="{2F36C53A-2A5C-4CB1-85B2-342AC42E397F}"/>
  </w:font>
  <w:font w:name="方正公文小标宋">
    <w:panose1 w:val="02000500000000000000"/>
    <w:charset w:val="86"/>
    <w:family w:val="auto"/>
    <w:pitch w:val="default"/>
    <w:sig w:usb0="A00002BF" w:usb1="38CF7CFA" w:usb2="00000016" w:usb3="00000000" w:csb0="00040001" w:csb1="00000000"/>
    <w:embedRegular r:id="rId5" w:fontKey="{AB35C1D0-0DD7-49A1-98F2-EF5D22DF318D}"/>
  </w:font>
  <w:font w:name="微软雅黑">
    <w:panose1 w:val="020B0503020204020204"/>
    <w:charset w:val="86"/>
    <w:family w:val="decorative"/>
    <w:pitch w:val="default"/>
    <w:sig w:usb0="80000287" w:usb1="280F3C52" w:usb2="00000016" w:usb3="00000000" w:csb0="0004001F" w:csb1="00000000"/>
    <w:embedRegular r:id="rId6" w:fontKey="{048DB9B4-AB92-4318-8804-2EA129A4E5DC}"/>
  </w:font>
  <w:font w:name="楷体">
    <w:panose1 w:val="02010609060101010101"/>
    <w:charset w:val="86"/>
    <w:family w:val="auto"/>
    <w:pitch w:val="default"/>
    <w:sig w:usb0="800002BF" w:usb1="38CF7CFA" w:usb2="00000016" w:usb3="00000000" w:csb0="00040001" w:csb1="00000000"/>
    <w:embedRegular r:id="rId7" w:fontKey="{CE39A334-1274-48F2-817D-EDFB36EF1D3B}"/>
  </w:font>
  <w:font w:name="楷体_GB2312">
    <w:panose1 w:val="02010609030101010101"/>
    <w:charset w:val="86"/>
    <w:family w:val="auto"/>
    <w:pitch w:val="default"/>
    <w:sig w:usb0="00000001" w:usb1="080E0000" w:usb2="00000000" w:usb3="00000000" w:csb0="00040000" w:csb1="00000000"/>
    <w:embedRegular r:id="rId8" w:fontKey="{C881FE56-67DC-44FA-9899-E5E590BE3DB9}"/>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9" w:fontKey="{E041B49A-7B41-452E-934C-6350AA02F2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right"/>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jc w:val="right"/>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MzJjMWZlZmVlNzIzNTRhY2UzZmQ3YzIwYWE4MjMifQ=="/>
  </w:docVars>
  <w:rsids>
    <w:rsidRoot w:val="00172A27"/>
    <w:rsid w:val="00062E1B"/>
    <w:rsid w:val="00080262"/>
    <w:rsid w:val="00116BB9"/>
    <w:rsid w:val="001612B1"/>
    <w:rsid w:val="00195202"/>
    <w:rsid w:val="00274862"/>
    <w:rsid w:val="002E6690"/>
    <w:rsid w:val="003B0EEF"/>
    <w:rsid w:val="003D54AA"/>
    <w:rsid w:val="00483D78"/>
    <w:rsid w:val="00513733"/>
    <w:rsid w:val="00560C61"/>
    <w:rsid w:val="005F1262"/>
    <w:rsid w:val="00612E0A"/>
    <w:rsid w:val="006B3A9F"/>
    <w:rsid w:val="008C7FF6"/>
    <w:rsid w:val="009433C8"/>
    <w:rsid w:val="00944890"/>
    <w:rsid w:val="00A84381"/>
    <w:rsid w:val="00AF01AB"/>
    <w:rsid w:val="00C30103"/>
    <w:rsid w:val="00C33BD2"/>
    <w:rsid w:val="00CB5948"/>
    <w:rsid w:val="00E01CA9"/>
    <w:rsid w:val="00EC76F6"/>
    <w:rsid w:val="00F632E7"/>
    <w:rsid w:val="015C4E4C"/>
    <w:rsid w:val="01865408"/>
    <w:rsid w:val="019B1886"/>
    <w:rsid w:val="02010CC1"/>
    <w:rsid w:val="02295499"/>
    <w:rsid w:val="026C3262"/>
    <w:rsid w:val="02A75D67"/>
    <w:rsid w:val="02C45698"/>
    <w:rsid w:val="039659F0"/>
    <w:rsid w:val="03B617A8"/>
    <w:rsid w:val="03DE3866"/>
    <w:rsid w:val="03EA3B15"/>
    <w:rsid w:val="03FD0897"/>
    <w:rsid w:val="041901C7"/>
    <w:rsid w:val="04CB5180"/>
    <w:rsid w:val="053960A1"/>
    <w:rsid w:val="05770104"/>
    <w:rsid w:val="057E73DF"/>
    <w:rsid w:val="05992DB1"/>
    <w:rsid w:val="06095474"/>
    <w:rsid w:val="062005AC"/>
    <w:rsid w:val="063475BD"/>
    <w:rsid w:val="0644429B"/>
    <w:rsid w:val="06CC51B2"/>
    <w:rsid w:val="07385B66"/>
    <w:rsid w:val="07454E7C"/>
    <w:rsid w:val="07647CAF"/>
    <w:rsid w:val="07805F5A"/>
    <w:rsid w:val="079B4852"/>
    <w:rsid w:val="07C531CC"/>
    <w:rsid w:val="07D02862"/>
    <w:rsid w:val="07F36299"/>
    <w:rsid w:val="07FA5C24"/>
    <w:rsid w:val="080E48C5"/>
    <w:rsid w:val="08375A89"/>
    <w:rsid w:val="08422A5C"/>
    <w:rsid w:val="08564CB9"/>
    <w:rsid w:val="09826F66"/>
    <w:rsid w:val="099111BE"/>
    <w:rsid w:val="09B207F9"/>
    <w:rsid w:val="09C77C88"/>
    <w:rsid w:val="0AF05C82"/>
    <w:rsid w:val="0B0E7838"/>
    <w:rsid w:val="0B995FD0"/>
    <w:rsid w:val="0C211877"/>
    <w:rsid w:val="0C302D8B"/>
    <w:rsid w:val="0C9F68C2"/>
    <w:rsid w:val="0CF031C9"/>
    <w:rsid w:val="0D39663D"/>
    <w:rsid w:val="0D904269"/>
    <w:rsid w:val="0DA1776A"/>
    <w:rsid w:val="0DD54741"/>
    <w:rsid w:val="0E9E6388"/>
    <w:rsid w:val="0EA855E3"/>
    <w:rsid w:val="0EDF2000"/>
    <w:rsid w:val="0F1C6C56"/>
    <w:rsid w:val="0F5F4247"/>
    <w:rsid w:val="0F5F6446"/>
    <w:rsid w:val="0F634E4C"/>
    <w:rsid w:val="0FAB0019"/>
    <w:rsid w:val="10585A2F"/>
    <w:rsid w:val="1118101A"/>
    <w:rsid w:val="11651A16"/>
    <w:rsid w:val="11AE6F8F"/>
    <w:rsid w:val="11CC1DC3"/>
    <w:rsid w:val="11F2097D"/>
    <w:rsid w:val="129B09A6"/>
    <w:rsid w:val="12A165D1"/>
    <w:rsid w:val="13386A96"/>
    <w:rsid w:val="133A5A39"/>
    <w:rsid w:val="1373166E"/>
    <w:rsid w:val="13A7230D"/>
    <w:rsid w:val="13B1325C"/>
    <w:rsid w:val="13FC2057"/>
    <w:rsid w:val="147B3C2A"/>
    <w:rsid w:val="154D3F83"/>
    <w:rsid w:val="1556100F"/>
    <w:rsid w:val="156E66B6"/>
    <w:rsid w:val="157F21D3"/>
    <w:rsid w:val="158562DB"/>
    <w:rsid w:val="15992B89"/>
    <w:rsid w:val="15C95ACB"/>
    <w:rsid w:val="15E0077E"/>
    <w:rsid w:val="160373DA"/>
    <w:rsid w:val="160D52BA"/>
    <w:rsid w:val="16523D4A"/>
    <w:rsid w:val="16591B36"/>
    <w:rsid w:val="16D617A9"/>
    <w:rsid w:val="16F91A40"/>
    <w:rsid w:val="17124B68"/>
    <w:rsid w:val="17371525"/>
    <w:rsid w:val="17707100"/>
    <w:rsid w:val="17F83B61"/>
    <w:rsid w:val="184616E2"/>
    <w:rsid w:val="18546479"/>
    <w:rsid w:val="186D278B"/>
    <w:rsid w:val="18B4383B"/>
    <w:rsid w:val="18F214BF"/>
    <w:rsid w:val="19131D2F"/>
    <w:rsid w:val="191F5A0F"/>
    <w:rsid w:val="1B0C316F"/>
    <w:rsid w:val="1B531365"/>
    <w:rsid w:val="1BD9519A"/>
    <w:rsid w:val="1C172EB4"/>
    <w:rsid w:val="1C9F7D02"/>
    <w:rsid w:val="1CBA412F"/>
    <w:rsid w:val="1CE37FEC"/>
    <w:rsid w:val="1D5550A7"/>
    <w:rsid w:val="1D9137E4"/>
    <w:rsid w:val="1E47263C"/>
    <w:rsid w:val="1E53644F"/>
    <w:rsid w:val="1EAE5864"/>
    <w:rsid w:val="1ED2479E"/>
    <w:rsid w:val="1F111D05"/>
    <w:rsid w:val="1F15070B"/>
    <w:rsid w:val="1F2111C5"/>
    <w:rsid w:val="1F57027B"/>
    <w:rsid w:val="1F610FFA"/>
    <w:rsid w:val="1F707B20"/>
    <w:rsid w:val="1F8E2953"/>
    <w:rsid w:val="1F921359"/>
    <w:rsid w:val="1FE864E5"/>
    <w:rsid w:val="1FF535FC"/>
    <w:rsid w:val="200C6AA5"/>
    <w:rsid w:val="203A3726"/>
    <w:rsid w:val="206B48C0"/>
    <w:rsid w:val="20857668"/>
    <w:rsid w:val="20A03A95"/>
    <w:rsid w:val="20AE2589"/>
    <w:rsid w:val="20AF2A2B"/>
    <w:rsid w:val="20DB03F7"/>
    <w:rsid w:val="21A3791E"/>
    <w:rsid w:val="21B9305C"/>
    <w:rsid w:val="22185738"/>
    <w:rsid w:val="22226190"/>
    <w:rsid w:val="222A65E3"/>
    <w:rsid w:val="225418B2"/>
    <w:rsid w:val="23723533"/>
    <w:rsid w:val="23947FCB"/>
    <w:rsid w:val="240B5874"/>
    <w:rsid w:val="246A3ACB"/>
    <w:rsid w:val="24FA3706"/>
    <w:rsid w:val="251B38EF"/>
    <w:rsid w:val="258C4EBE"/>
    <w:rsid w:val="25EE16C9"/>
    <w:rsid w:val="262E5110"/>
    <w:rsid w:val="26552372"/>
    <w:rsid w:val="267C0033"/>
    <w:rsid w:val="26A768F9"/>
    <w:rsid w:val="26AC2D80"/>
    <w:rsid w:val="26D12FC0"/>
    <w:rsid w:val="26FE7307"/>
    <w:rsid w:val="275D0055"/>
    <w:rsid w:val="27713E97"/>
    <w:rsid w:val="27B5694E"/>
    <w:rsid w:val="27EB411E"/>
    <w:rsid w:val="282D79F9"/>
    <w:rsid w:val="283E4B96"/>
    <w:rsid w:val="28506677"/>
    <w:rsid w:val="28BB2AE0"/>
    <w:rsid w:val="29275693"/>
    <w:rsid w:val="2984482A"/>
    <w:rsid w:val="29C92C9E"/>
    <w:rsid w:val="29CC3C22"/>
    <w:rsid w:val="29E56C0C"/>
    <w:rsid w:val="2A44644C"/>
    <w:rsid w:val="2A5913C2"/>
    <w:rsid w:val="2A7F14C7"/>
    <w:rsid w:val="2B7934C1"/>
    <w:rsid w:val="2B860107"/>
    <w:rsid w:val="2B94578C"/>
    <w:rsid w:val="2BBE3AE9"/>
    <w:rsid w:val="2C401025"/>
    <w:rsid w:val="2D200796"/>
    <w:rsid w:val="2D640442"/>
    <w:rsid w:val="2D6D0895"/>
    <w:rsid w:val="2D8C3A02"/>
    <w:rsid w:val="2DD76C40"/>
    <w:rsid w:val="2E170A3F"/>
    <w:rsid w:val="2E1D2C38"/>
    <w:rsid w:val="2E262979"/>
    <w:rsid w:val="2E9460F9"/>
    <w:rsid w:val="2E97707E"/>
    <w:rsid w:val="2F945C9C"/>
    <w:rsid w:val="2FB32CCE"/>
    <w:rsid w:val="2FB829D9"/>
    <w:rsid w:val="300701D9"/>
    <w:rsid w:val="30937DBD"/>
    <w:rsid w:val="309578DA"/>
    <w:rsid w:val="30BF3ADC"/>
    <w:rsid w:val="310444A3"/>
    <w:rsid w:val="31181CFC"/>
    <w:rsid w:val="31B70420"/>
    <w:rsid w:val="31B97BA0"/>
    <w:rsid w:val="31D53C4D"/>
    <w:rsid w:val="32CB48B3"/>
    <w:rsid w:val="330F5F53"/>
    <w:rsid w:val="33564149"/>
    <w:rsid w:val="335A2AA0"/>
    <w:rsid w:val="33775400"/>
    <w:rsid w:val="339461AC"/>
    <w:rsid w:val="33A6194A"/>
    <w:rsid w:val="33B421B0"/>
    <w:rsid w:val="33C5697B"/>
    <w:rsid w:val="33F475A3"/>
    <w:rsid w:val="34184207"/>
    <w:rsid w:val="34356AFC"/>
    <w:rsid w:val="344D7F0F"/>
    <w:rsid w:val="34825E35"/>
    <w:rsid w:val="34B36604"/>
    <w:rsid w:val="35216C38"/>
    <w:rsid w:val="353E0766"/>
    <w:rsid w:val="354D2F7F"/>
    <w:rsid w:val="35787646"/>
    <w:rsid w:val="357A05CB"/>
    <w:rsid w:val="358F1978"/>
    <w:rsid w:val="35904CED"/>
    <w:rsid w:val="35983570"/>
    <w:rsid w:val="35A7377F"/>
    <w:rsid w:val="36476A1A"/>
    <w:rsid w:val="369B6CB0"/>
    <w:rsid w:val="369C6124"/>
    <w:rsid w:val="36AC3612"/>
    <w:rsid w:val="36C76FB6"/>
    <w:rsid w:val="37386C54"/>
    <w:rsid w:val="376107C8"/>
    <w:rsid w:val="38255FAB"/>
    <w:rsid w:val="38DB4455"/>
    <w:rsid w:val="3908401F"/>
    <w:rsid w:val="397C3FDE"/>
    <w:rsid w:val="39AE222F"/>
    <w:rsid w:val="39CE29EC"/>
    <w:rsid w:val="39F529A3"/>
    <w:rsid w:val="3A053E6F"/>
    <w:rsid w:val="3A1D3B67"/>
    <w:rsid w:val="3AB67FF8"/>
    <w:rsid w:val="3ADD0722"/>
    <w:rsid w:val="3ADF3C25"/>
    <w:rsid w:val="3BC07029"/>
    <w:rsid w:val="3C163092"/>
    <w:rsid w:val="3C75173D"/>
    <w:rsid w:val="3C853F56"/>
    <w:rsid w:val="3CD85BFE"/>
    <w:rsid w:val="3CF62F90"/>
    <w:rsid w:val="3DAC56E4"/>
    <w:rsid w:val="3DAE273F"/>
    <w:rsid w:val="3DAF34AD"/>
    <w:rsid w:val="3E1C65F6"/>
    <w:rsid w:val="3E6831F2"/>
    <w:rsid w:val="3EDB2CE7"/>
    <w:rsid w:val="3EE32B3C"/>
    <w:rsid w:val="3F464DDE"/>
    <w:rsid w:val="3FC537D6"/>
    <w:rsid w:val="3FE326DE"/>
    <w:rsid w:val="403140C3"/>
    <w:rsid w:val="40360E64"/>
    <w:rsid w:val="40D04D9E"/>
    <w:rsid w:val="40E26B54"/>
    <w:rsid w:val="41282D76"/>
    <w:rsid w:val="41865F2C"/>
    <w:rsid w:val="41AF0470"/>
    <w:rsid w:val="420C3B70"/>
    <w:rsid w:val="42201C89"/>
    <w:rsid w:val="42407FBF"/>
    <w:rsid w:val="42432911"/>
    <w:rsid w:val="42883C37"/>
    <w:rsid w:val="432C2564"/>
    <w:rsid w:val="432F01A9"/>
    <w:rsid w:val="433462CE"/>
    <w:rsid w:val="43AB7211"/>
    <w:rsid w:val="43AE29FB"/>
    <w:rsid w:val="43D67301"/>
    <w:rsid w:val="44204C51"/>
    <w:rsid w:val="44217B79"/>
    <w:rsid w:val="44CD3E71"/>
    <w:rsid w:val="44F462AF"/>
    <w:rsid w:val="45007B43"/>
    <w:rsid w:val="45032B9E"/>
    <w:rsid w:val="454318B1"/>
    <w:rsid w:val="46184D8C"/>
    <w:rsid w:val="468D05CE"/>
    <w:rsid w:val="46924A56"/>
    <w:rsid w:val="46A86BFA"/>
    <w:rsid w:val="46C81A09"/>
    <w:rsid w:val="474F068C"/>
    <w:rsid w:val="47503B46"/>
    <w:rsid w:val="47FB7F56"/>
    <w:rsid w:val="48457920"/>
    <w:rsid w:val="489D5DB0"/>
    <w:rsid w:val="48EF2337"/>
    <w:rsid w:val="48F71942"/>
    <w:rsid w:val="494D48CF"/>
    <w:rsid w:val="498D56B8"/>
    <w:rsid w:val="49C9389B"/>
    <w:rsid w:val="49D97D36"/>
    <w:rsid w:val="49E8269F"/>
    <w:rsid w:val="49F0795B"/>
    <w:rsid w:val="4A080885"/>
    <w:rsid w:val="4ACC5795"/>
    <w:rsid w:val="4ADF5065"/>
    <w:rsid w:val="4AF26284"/>
    <w:rsid w:val="4B2D2BE6"/>
    <w:rsid w:val="4B536274"/>
    <w:rsid w:val="4B961765"/>
    <w:rsid w:val="4BD8527D"/>
    <w:rsid w:val="4C186067"/>
    <w:rsid w:val="4C1C162F"/>
    <w:rsid w:val="4C2D6F06"/>
    <w:rsid w:val="4D0B0C3B"/>
    <w:rsid w:val="4DAD74CF"/>
    <w:rsid w:val="4E8E31EC"/>
    <w:rsid w:val="4EB71E32"/>
    <w:rsid w:val="515832AE"/>
    <w:rsid w:val="52684B42"/>
    <w:rsid w:val="5283316D"/>
    <w:rsid w:val="529A4C9D"/>
    <w:rsid w:val="529F4C9C"/>
    <w:rsid w:val="52E33AC0"/>
    <w:rsid w:val="533C039D"/>
    <w:rsid w:val="534C4DB4"/>
    <w:rsid w:val="53512A4E"/>
    <w:rsid w:val="537B1187"/>
    <w:rsid w:val="53B547E4"/>
    <w:rsid w:val="53E143AE"/>
    <w:rsid w:val="53FB0E4D"/>
    <w:rsid w:val="54134879"/>
    <w:rsid w:val="54E106CE"/>
    <w:rsid w:val="563B5487"/>
    <w:rsid w:val="57163EF1"/>
    <w:rsid w:val="573B2E2C"/>
    <w:rsid w:val="580E554C"/>
    <w:rsid w:val="581D7B9B"/>
    <w:rsid w:val="58A73382"/>
    <w:rsid w:val="591A502E"/>
    <w:rsid w:val="5A301B84"/>
    <w:rsid w:val="5AC82200"/>
    <w:rsid w:val="5AC86880"/>
    <w:rsid w:val="5B251198"/>
    <w:rsid w:val="5B5773E8"/>
    <w:rsid w:val="5BA416E6"/>
    <w:rsid w:val="5BBB130B"/>
    <w:rsid w:val="5BD62414"/>
    <w:rsid w:val="5BF714F0"/>
    <w:rsid w:val="5C084598"/>
    <w:rsid w:val="5C61311E"/>
    <w:rsid w:val="5C9C6CEB"/>
    <w:rsid w:val="5CC725C8"/>
    <w:rsid w:val="5D2353DA"/>
    <w:rsid w:val="5D2972E4"/>
    <w:rsid w:val="5D2B27E7"/>
    <w:rsid w:val="5D312171"/>
    <w:rsid w:val="5D3259F5"/>
    <w:rsid w:val="5D327BF3"/>
    <w:rsid w:val="5D685B8B"/>
    <w:rsid w:val="5DB44CC9"/>
    <w:rsid w:val="5DB54949"/>
    <w:rsid w:val="5DCB091B"/>
    <w:rsid w:val="5DE03A1E"/>
    <w:rsid w:val="5DFD63C2"/>
    <w:rsid w:val="5DFF3AC4"/>
    <w:rsid w:val="5E384F22"/>
    <w:rsid w:val="5E3929A4"/>
    <w:rsid w:val="5E437B09"/>
    <w:rsid w:val="5E5757D7"/>
    <w:rsid w:val="5FEB5BEE"/>
    <w:rsid w:val="60395667"/>
    <w:rsid w:val="604858AA"/>
    <w:rsid w:val="608102DF"/>
    <w:rsid w:val="613100ED"/>
    <w:rsid w:val="613D6494"/>
    <w:rsid w:val="61693D2A"/>
    <w:rsid w:val="61D354EB"/>
    <w:rsid w:val="62556F61"/>
    <w:rsid w:val="625A6C6C"/>
    <w:rsid w:val="62DE1443"/>
    <w:rsid w:val="63041683"/>
    <w:rsid w:val="63091321"/>
    <w:rsid w:val="633E4CE0"/>
    <w:rsid w:val="63791642"/>
    <w:rsid w:val="63E541F4"/>
    <w:rsid w:val="641E1DD0"/>
    <w:rsid w:val="643423CE"/>
    <w:rsid w:val="64561F2A"/>
    <w:rsid w:val="64A357A5"/>
    <w:rsid w:val="64A47AAA"/>
    <w:rsid w:val="64BC5151"/>
    <w:rsid w:val="64C62362"/>
    <w:rsid w:val="64D11873"/>
    <w:rsid w:val="64F34037"/>
    <w:rsid w:val="656868EF"/>
    <w:rsid w:val="65BD406F"/>
    <w:rsid w:val="65DF5A79"/>
    <w:rsid w:val="65EB3645"/>
    <w:rsid w:val="6659611C"/>
    <w:rsid w:val="66C83F2C"/>
    <w:rsid w:val="67AD735A"/>
    <w:rsid w:val="685D7846"/>
    <w:rsid w:val="686007CB"/>
    <w:rsid w:val="689D3EB3"/>
    <w:rsid w:val="68BC5088"/>
    <w:rsid w:val="68C11AE9"/>
    <w:rsid w:val="68C8394A"/>
    <w:rsid w:val="68D35B63"/>
    <w:rsid w:val="68D979E8"/>
    <w:rsid w:val="692865B0"/>
    <w:rsid w:val="6A263441"/>
    <w:rsid w:val="6A9C774F"/>
    <w:rsid w:val="6A9D13FA"/>
    <w:rsid w:val="6AB3359E"/>
    <w:rsid w:val="6ABA5127"/>
    <w:rsid w:val="6B0F0434"/>
    <w:rsid w:val="6B3959F5"/>
    <w:rsid w:val="6B593D2B"/>
    <w:rsid w:val="6B880FF7"/>
    <w:rsid w:val="6BDD05EF"/>
    <w:rsid w:val="6C030941"/>
    <w:rsid w:val="6C621FDF"/>
    <w:rsid w:val="6C9E65C1"/>
    <w:rsid w:val="6D1055FB"/>
    <w:rsid w:val="6D955854"/>
    <w:rsid w:val="6E6910B0"/>
    <w:rsid w:val="6EC21CE7"/>
    <w:rsid w:val="6F401113"/>
    <w:rsid w:val="6FC12966"/>
    <w:rsid w:val="6FE518A1"/>
    <w:rsid w:val="70041F16"/>
    <w:rsid w:val="70776A1C"/>
    <w:rsid w:val="70C13206"/>
    <w:rsid w:val="70FE7DEF"/>
    <w:rsid w:val="711C739F"/>
    <w:rsid w:val="712856B3"/>
    <w:rsid w:val="717767B4"/>
    <w:rsid w:val="71924DDF"/>
    <w:rsid w:val="71CF4C44"/>
    <w:rsid w:val="71FA2E5E"/>
    <w:rsid w:val="7232276A"/>
    <w:rsid w:val="728E17FF"/>
    <w:rsid w:val="72FA6C2C"/>
    <w:rsid w:val="7317045F"/>
    <w:rsid w:val="73196D06"/>
    <w:rsid w:val="736D1458"/>
    <w:rsid w:val="73763CFB"/>
    <w:rsid w:val="73C93B06"/>
    <w:rsid w:val="73E425AB"/>
    <w:rsid w:val="7427609D"/>
    <w:rsid w:val="74460B51"/>
    <w:rsid w:val="74463A57"/>
    <w:rsid w:val="74905ACD"/>
    <w:rsid w:val="74D80CAF"/>
    <w:rsid w:val="74E10D4F"/>
    <w:rsid w:val="74F96834"/>
    <w:rsid w:val="74FD2A1F"/>
    <w:rsid w:val="75230813"/>
    <w:rsid w:val="75695C4F"/>
    <w:rsid w:val="759130F1"/>
    <w:rsid w:val="75DB226C"/>
    <w:rsid w:val="761A1D50"/>
    <w:rsid w:val="767C6572"/>
    <w:rsid w:val="77193E72"/>
    <w:rsid w:val="77A64D5A"/>
    <w:rsid w:val="77AF6676"/>
    <w:rsid w:val="77DD24CC"/>
    <w:rsid w:val="77E34BBF"/>
    <w:rsid w:val="77E80343"/>
    <w:rsid w:val="77F5035D"/>
    <w:rsid w:val="77F55EC0"/>
    <w:rsid w:val="7803238B"/>
    <w:rsid w:val="784F4498"/>
    <w:rsid w:val="7908111E"/>
    <w:rsid w:val="79566C9F"/>
    <w:rsid w:val="796A5940"/>
    <w:rsid w:val="79795B83"/>
    <w:rsid w:val="799C2A97"/>
    <w:rsid w:val="79AF2BB1"/>
    <w:rsid w:val="79B85A3F"/>
    <w:rsid w:val="7A5101BC"/>
    <w:rsid w:val="7A957F12"/>
    <w:rsid w:val="7ADD5821"/>
    <w:rsid w:val="7BA14395"/>
    <w:rsid w:val="7BCD512A"/>
    <w:rsid w:val="7BDA3403"/>
    <w:rsid w:val="7C146E06"/>
    <w:rsid w:val="7C896B62"/>
    <w:rsid w:val="7CF24DE2"/>
    <w:rsid w:val="7D55172E"/>
    <w:rsid w:val="7D5603CA"/>
    <w:rsid w:val="7D956C94"/>
    <w:rsid w:val="7DB27E0B"/>
    <w:rsid w:val="7DE42296"/>
    <w:rsid w:val="7E061923"/>
    <w:rsid w:val="7E2A628E"/>
    <w:rsid w:val="7E795155"/>
    <w:rsid w:val="7EA52354"/>
    <w:rsid w:val="7EEA0AA5"/>
    <w:rsid w:val="7F0A6EBC"/>
    <w:rsid w:val="7F1A5B96"/>
    <w:rsid w:val="7F4F2335"/>
    <w:rsid w:val="7F59567B"/>
    <w:rsid w:val="7F6F781F"/>
    <w:rsid w:val="7FC811B2"/>
    <w:rsid w:val="7FEB4BEA"/>
    <w:rsid w:val="D7FF68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rPr>
  </w:style>
  <w:style w:type="paragraph" w:styleId="5">
    <w:name w:val="toc 7"/>
    <w:basedOn w:val="1"/>
    <w:next w:val="1"/>
    <w:autoRedefine/>
    <w:qFormat/>
    <w:uiPriority w:val="0"/>
    <w:pPr>
      <w:ind w:left="2520" w:leftChars="1200"/>
    </w:pPr>
  </w:style>
  <w:style w:type="paragraph" w:styleId="6">
    <w:name w:val="toa heading"/>
    <w:basedOn w:val="1"/>
    <w:next w:val="1"/>
    <w:autoRedefine/>
    <w:qFormat/>
    <w:uiPriority w:val="0"/>
    <w:pPr>
      <w:spacing w:before="120" w:beforeLines="0" w:beforeAutospacing="0"/>
    </w:pPr>
    <w:rPr>
      <w:rFonts w:ascii="Arial" w:hAnsi="Arial"/>
      <w:sz w:val="24"/>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before="102"/>
      <w:ind w:left="112"/>
    </w:pPr>
    <w:rPr>
      <w:rFonts w:ascii="Times New Roman" w:hAnsi="Times New Roman" w:eastAsia="宋体" w:cs="Times New Roman"/>
      <w:sz w:val="28"/>
      <w:szCs w:val="28"/>
    </w:rPr>
  </w:style>
  <w:style w:type="paragraph" w:styleId="9">
    <w:name w:val="toc 5"/>
    <w:basedOn w:val="1"/>
    <w:next w:val="1"/>
    <w:autoRedefine/>
    <w:qFormat/>
    <w:uiPriority w:val="0"/>
    <w:pPr>
      <w:ind w:left="1680" w:leftChars="800"/>
    </w:pPr>
  </w:style>
  <w:style w:type="paragraph" w:styleId="10">
    <w:name w:val="toc 3"/>
    <w:basedOn w:val="1"/>
    <w:next w:val="1"/>
    <w:autoRedefine/>
    <w:qFormat/>
    <w:uiPriority w:val="0"/>
    <w:pPr>
      <w:ind w:left="840" w:leftChars="400"/>
    </w:pPr>
  </w:style>
  <w:style w:type="paragraph" w:styleId="11">
    <w:name w:val="toc 8"/>
    <w:basedOn w:val="1"/>
    <w:next w:val="1"/>
    <w:autoRedefine/>
    <w:qFormat/>
    <w:uiPriority w:val="0"/>
    <w:pPr>
      <w:ind w:left="2940" w:leftChars="1400"/>
    </w:pPr>
  </w:style>
  <w:style w:type="paragraph" w:styleId="12">
    <w:name w:val="footer"/>
    <w:basedOn w:val="1"/>
    <w:link w:val="26"/>
    <w:autoRedefine/>
    <w:qFormat/>
    <w:uiPriority w:val="0"/>
    <w:pPr>
      <w:tabs>
        <w:tab w:val="center" w:pos="4153"/>
        <w:tab w:val="right" w:pos="8306"/>
      </w:tabs>
      <w:snapToGrid w:val="0"/>
      <w:jc w:val="left"/>
    </w:pPr>
    <w:rPr>
      <w:sz w:val="18"/>
      <w:szCs w:val="18"/>
    </w:rPr>
  </w:style>
  <w:style w:type="paragraph" w:styleId="13">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toc 4"/>
    <w:basedOn w:val="1"/>
    <w:next w:val="1"/>
    <w:autoRedefine/>
    <w:qFormat/>
    <w:uiPriority w:val="0"/>
    <w:pPr>
      <w:ind w:left="1260" w:leftChars="600"/>
    </w:pPr>
  </w:style>
  <w:style w:type="paragraph" w:styleId="16">
    <w:name w:val="toc 6"/>
    <w:basedOn w:val="1"/>
    <w:next w:val="1"/>
    <w:autoRedefine/>
    <w:qFormat/>
    <w:uiPriority w:val="0"/>
    <w:pPr>
      <w:ind w:left="2100" w:leftChars="1000"/>
    </w:pPr>
  </w:style>
  <w:style w:type="paragraph" w:styleId="17">
    <w:name w:val="toc 2"/>
    <w:basedOn w:val="1"/>
    <w:next w:val="1"/>
    <w:autoRedefine/>
    <w:qFormat/>
    <w:uiPriority w:val="0"/>
    <w:pPr>
      <w:ind w:left="420" w:leftChars="200"/>
    </w:pPr>
  </w:style>
  <w:style w:type="paragraph" w:styleId="18">
    <w:name w:val="toc 9"/>
    <w:basedOn w:val="1"/>
    <w:next w:val="1"/>
    <w:autoRedefine/>
    <w:qFormat/>
    <w:uiPriority w:val="0"/>
    <w:pPr>
      <w:ind w:left="3360" w:leftChars="1600"/>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qFormat/>
    <w:uiPriority w:val="0"/>
    <w:rPr>
      <w:color w:val="0563C1" w:themeColor="hyperlink"/>
      <w:u w:val="single"/>
      <w14:textFill>
        <w14:solidFill>
          <w14:schemeClr w14:val="hlink"/>
        </w14:solidFill>
      </w14:textFill>
    </w:rPr>
  </w:style>
  <w:style w:type="paragraph" w:customStyle="1" w:styleId="24">
    <w:name w:val="Heading2"/>
    <w:basedOn w:val="1"/>
    <w:next w:val="1"/>
    <w:autoRedefine/>
    <w:qFormat/>
    <w:uiPriority w:val="0"/>
    <w:pPr>
      <w:keepNext/>
      <w:keepLines/>
      <w:spacing w:before="260" w:after="260" w:line="416" w:lineRule="auto"/>
      <w:textAlignment w:val="baseline"/>
    </w:pPr>
    <w:rPr>
      <w:rFonts w:ascii="Cambria" w:hAnsi="Cambria"/>
      <w:b/>
      <w:bCs/>
      <w:sz w:val="32"/>
      <w:szCs w:val="32"/>
    </w:rPr>
  </w:style>
  <w:style w:type="character" w:customStyle="1" w:styleId="25">
    <w:name w:val="页眉 字符"/>
    <w:basedOn w:val="22"/>
    <w:link w:val="13"/>
    <w:autoRedefine/>
    <w:qFormat/>
    <w:uiPriority w:val="0"/>
    <w:rPr>
      <w:rFonts w:asciiTheme="minorHAnsi" w:hAnsiTheme="minorHAnsi" w:eastAsiaTheme="minorEastAsia" w:cstheme="minorBidi"/>
      <w:kern w:val="2"/>
      <w:sz w:val="18"/>
      <w:szCs w:val="18"/>
    </w:rPr>
  </w:style>
  <w:style w:type="character" w:customStyle="1" w:styleId="26">
    <w:name w:val="页脚 字符"/>
    <w:basedOn w:val="22"/>
    <w:link w:val="12"/>
    <w:autoRedefine/>
    <w:qFormat/>
    <w:uiPriority w:val="0"/>
    <w:rPr>
      <w:rFonts w:asciiTheme="minorHAnsi" w:hAnsiTheme="minorHAnsi" w:eastAsiaTheme="minorEastAsia" w:cstheme="minorBidi"/>
      <w:kern w:val="2"/>
      <w:sz w:val="18"/>
      <w:szCs w:val="18"/>
    </w:rPr>
  </w:style>
  <w:style w:type="character" w:customStyle="1" w:styleId="27">
    <w:name w:val="Unresolved Mention"/>
    <w:basedOn w:val="22"/>
    <w:autoRedefine/>
    <w:unhideWhenUsed/>
    <w:qFormat/>
    <w:uiPriority w:val="99"/>
    <w:rPr>
      <w:color w:val="605E5C"/>
      <w:shd w:val="clear" w:color="auto" w:fill="E1DFDD"/>
    </w:rPr>
  </w:style>
  <w:style w:type="paragraph" w:customStyle="1" w:styleId="28">
    <w:name w:val="List Paragraph"/>
    <w:basedOn w:val="1"/>
    <w:autoRedefine/>
    <w:qFormat/>
    <w:uiPriority w:val="99"/>
    <w:pPr>
      <w:ind w:firstLine="420" w:firstLineChars="200"/>
    </w:pPr>
  </w:style>
  <w:style w:type="table" w:customStyle="1" w:styleId="29">
    <w:name w:val="Table Normal"/>
    <w:autoRedefine/>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30">
    <w:name w:val="font01"/>
    <w:basedOn w:val="22"/>
    <w:autoRedefine/>
    <w:qFormat/>
    <w:uiPriority w:val="0"/>
    <w:rPr>
      <w:rFonts w:hint="eastAsia" w:ascii="宋体" w:hAnsi="宋体" w:eastAsia="宋体" w:cs="宋体"/>
      <w:color w:val="000000"/>
      <w:sz w:val="21"/>
      <w:szCs w:val="21"/>
      <w:u w:val="none"/>
    </w:rPr>
  </w:style>
  <w:style w:type="character" w:customStyle="1" w:styleId="31">
    <w:name w:val="font11"/>
    <w:basedOn w:val="22"/>
    <w:autoRedefine/>
    <w:qFormat/>
    <w:uiPriority w:val="0"/>
    <w:rPr>
      <w:rFonts w:hint="eastAsia" w:ascii="方正黑体_GBK" w:hAnsi="方正黑体_GBK" w:eastAsia="方正黑体_GBK" w:cs="方正黑体_GBK"/>
      <w:color w:val="000000"/>
      <w:sz w:val="28"/>
      <w:szCs w:val="28"/>
      <w:u w:val="none"/>
    </w:rPr>
  </w:style>
  <w:style w:type="character" w:customStyle="1" w:styleId="32">
    <w:name w:val="font21"/>
    <w:basedOn w:val="22"/>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2"/>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7640</Words>
  <Characters>8054</Characters>
  <Lines>38</Lines>
  <Paragraphs>10</Paragraphs>
  <TotalTime>35</TotalTime>
  <ScaleCrop>false</ScaleCrop>
  <LinksUpToDate>false</LinksUpToDate>
  <CharactersWithSpaces>8330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2023-04-17T17:02:00Z</dcterms:created>
  <dc:creator>50227211</dc:creator>
  <cp:lastModifiedBy> </cp:lastModifiedBy>
  <cp:lastPrinted>2024-01-16T01:44:00Z</cp:lastPrinted>
  <dcterms:modified xsi:type="dcterms:W3CDTF">2024-01-17T08:43:23Z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A9F5E3B7F26244FB98AD024409F5ACC5_13</vt:lpwstr>
  </property>
</Properties>
</file>