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outlineLvl w:val="9"/>
        <w:rPr>
          <w:rFonts w:hint="eastAsia"/>
          <w:lang w:val="en-US" w:eastAsia="zh-CN"/>
        </w:rPr>
      </w:pPr>
    </w:p>
    <w:p>
      <w:pPr>
        <w:pStyle w:val="2"/>
        <w:bidi w:val="0"/>
        <w:jc w:val="center"/>
        <w:rPr>
          <w:rFonts w:hint="eastAsia"/>
          <w:b w:val="0"/>
          <w:bCs/>
          <w:sz w:val="56"/>
          <w:szCs w:val="36"/>
          <w:lang w:val="en-US" w:eastAsia="zh-CN"/>
        </w:rPr>
      </w:pPr>
      <w:bookmarkStart w:id="0" w:name="_Toc23900"/>
      <w:r>
        <w:rPr>
          <w:rFonts w:hint="eastAsia" w:ascii="方正小标宋简体" w:hAnsi="方正小标宋简体" w:eastAsia="方正小标宋简体" w:cs="方正小标宋简体"/>
          <w:b w:val="0"/>
          <w:bCs/>
          <w:sz w:val="56"/>
          <w:szCs w:val="36"/>
          <w:lang w:val="en-US" w:eastAsia="zh-CN"/>
        </w:rPr>
        <w:t>配方颗粒报价解密</w:t>
      </w:r>
      <w:bookmarkEnd w:id="0"/>
    </w:p>
    <w:p>
      <w:pPr>
        <w:pStyle w:val="2"/>
        <w:bidi w:val="0"/>
        <w:jc w:val="center"/>
        <w:rPr>
          <w:rFonts w:hint="eastAsia" w:ascii="方正小标宋简体" w:hAnsi="方正小标宋简体" w:eastAsia="方正小标宋简体" w:cs="方正小标宋简体"/>
          <w:b w:val="0"/>
          <w:bCs/>
          <w:lang w:val="en-US" w:eastAsia="zh-CN"/>
        </w:rPr>
      </w:pPr>
      <w:bookmarkStart w:id="1" w:name="_Toc23557"/>
      <w:r>
        <w:rPr>
          <w:rFonts w:hint="eastAsia" w:ascii="方正小标宋简体" w:hAnsi="方正小标宋简体" w:eastAsia="方正小标宋简体" w:cs="方正小标宋简体"/>
          <w:b w:val="0"/>
          <w:bCs/>
          <w:lang w:val="en-US" w:eastAsia="zh-CN"/>
        </w:rPr>
        <w:t>生产企业操作手册</w:t>
      </w:r>
      <w:bookmarkEnd w:id="1"/>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bidi w:val="0"/>
        <w:jc w:val="center"/>
        <w:rPr>
          <w:rFonts w:hint="eastAsia" w:ascii="方正小标宋简体" w:hAnsi="方正小标宋简体" w:eastAsia="方正小标宋简体" w:cs="方正小标宋简体"/>
          <w:b w:val="0"/>
          <w:bCs w:val="0"/>
          <w:sz w:val="36"/>
          <w:szCs w:val="44"/>
          <w:lang w:val="en-US" w:eastAsia="zh-CN"/>
        </w:rPr>
      </w:pPr>
      <w:r>
        <w:rPr>
          <w:rFonts w:hint="eastAsia" w:ascii="方正小标宋简体" w:hAnsi="方正小标宋简体" w:eastAsia="方正小标宋简体" w:cs="方正小标宋简体"/>
          <w:b w:val="0"/>
          <w:bCs w:val="0"/>
          <w:sz w:val="36"/>
          <w:szCs w:val="44"/>
          <w:lang w:val="en-US" w:eastAsia="zh-CN"/>
        </w:rPr>
        <w:t>2024年06月11日</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keepNext/>
        <w:keepLines/>
        <w:widowControl w:val="0"/>
        <w:numPr>
          <w:ilvl w:val="0"/>
          <w:numId w:val="0"/>
        </w:numPr>
        <w:bidi w:val="0"/>
        <w:spacing w:before="340" w:beforeLines="0" w:beforeAutospacing="0" w:after="330" w:afterLines="0" w:afterAutospacing="0" w:line="576" w:lineRule="auto"/>
        <w:jc w:val="center"/>
        <w:outlineLvl w:val="9"/>
        <w:rPr>
          <w:rFonts w:hint="eastAsia"/>
          <w:lang w:val="en-US" w:eastAsia="zh-CN"/>
        </w:rPr>
      </w:pPr>
      <w:bookmarkStart w:id="2" w:name="_Toc30208"/>
      <w:bookmarkStart w:id="3" w:name="_Toc16095"/>
    </w:p>
    <w:p>
      <w:pPr>
        <w:jc w:val="right"/>
        <w:rPr>
          <w:rFonts w:hint="eastAsia"/>
          <w:lang w:val="en-US" w:eastAsia="zh-CN"/>
        </w:rPr>
      </w:pPr>
      <w:bookmarkStart w:id="15" w:name="_GoBack"/>
      <w:bookmarkEnd w:id="15"/>
    </w:p>
    <w:p>
      <w:pPr>
        <w:rPr>
          <w:rFonts w:hint="eastAsia"/>
          <w:lang w:val="en-US" w:eastAsia="zh-CN"/>
        </w:rPr>
      </w:pPr>
    </w:p>
    <w:p>
      <w:pPr>
        <w:tabs>
          <w:tab w:val="left" w:pos="3335"/>
          <w:tab w:val="center" w:pos="4213"/>
        </w:tabs>
        <w:spacing w:before="0" w:beforeLines="0" w:after="0" w:afterLines="0" w:line="240" w:lineRule="auto"/>
        <w:ind w:left="0" w:leftChars="0" w:right="0" w:rightChars="0" w:firstLine="0" w:firstLineChars="0"/>
        <w:jc w:val="center"/>
        <w:rPr>
          <w:rFonts w:hint="eastAsia" w:ascii="宋体" w:hAnsi="宋体" w:eastAsia="宋体" w:cstheme="minorBidi"/>
          <w:kern w:val="2"/>
          <w:sz w:val="48"/>
          <w:szCs w:val="56"/>
          <w:lang w:val="en-US" w:eastAsia="zh-CN" w:bidi="ar-SA"/>
        </w:rPr>
      </w:pPr>
      <w:r>
        <w:rPr>
          <w:rFonts w:hint="eastAsia" w:ascii="宋体" w:hAnsi="宋体" w:eastAsia="宋体" w:cstheme="minorBidi"/>
          <w:kern w:val="2"/>
          <w:sz w:val="48"/>
          <w:szCs w:val="56"/>
          <w:lang w:val="en-US" w:eastAsia="zh-CN" w:bidi="ar-SA"/>
        </w:rPr>
        <w:tab/>
      </w:r>
    </w:p>
    <w:sdt>
      <w:sdtPr>
        <w:rPr>
          <w:rFonts w:ascii="宋体" w:hAnsi="宋体" w:eastAsia="宋体" w:cstheme="minorBidi"/>
          <w:kern w:val="2"/>
          <w:sz w:val="48"/>
          <w:szCs w:val="56"/>
          <w:lang w:val="en-US" w:eastAsia="zh-CN" w:bidi="ar-SA"/>
        </w:rPr>
        <w:id w:val="147461439"/>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CN" w:bidi="ar-SA"/>
        </w:rPr>
      </w:sdtEndPr>
      <w:sdtContent>
        <w:p>
          <w:pPr>
            <w:tabs>
              <w:tab w:val="left" w:pos="3335"/>
              <w:tab w:val="center" w:pos="4213"/>
            </w:tabs>
            <w:spacing w:before="0" w:beforeLines="0" w:after="0" w:afterLines="0" w:line="240" w:lineRule="auto"/>
            <w:ind w:left="0" w:leftChars="0" w:right="0" w:rightChars="0" w:firstLine="0" w:firstLineChars="0"/>
            <w:jc w:val="left"/>
            <w:rPr>
              <w:rFonts w:hint="eastAsia" w:ascii="仿宋_GB2312" w:hAnsi="仿宋_GB2312" w:eastAsia="仿宋_GB2312" w:cs="仿宋_GB2312"/>
              <w:sz w:val="48"/>
              <w:szCs w:val="56"/>
            </w:rPr>
          </w:pPr>
          <w:r>
            <w:rPr>
              <w:rFonts w:hint="eastAsia" w:ascii="宋体" w:hAnsi="宋体" w:eastAsia="宋体" w:cstheme="minorBidi"/>
              <w:kern w:val="2"/>
              <w:sz w:val="48"/>
              <w:szCs w:val="56"/>
              <w:lang w:val="en-US" w:eastAsia="zh-CN" w:bidi="ar-SA"/>
            </w:rPr>
            <w:tab/>
          </w:r>
          <w:r>
            <w:rPr>
              <w:rFonts w:hint="eastAsia" w:ascii="仿宋_GB2312" w:hAnsi="仿宋_GB2312" w:eastAsia="仿宋_GB2312" w:cs="仿宋_GB2312"/>
              <w:b/>
              <w:bCs/>
              <w:sz w:val="48"/>
              <w:szCs w:val="56"/>
            </w:rPr>
            <w:t>目录</w:t>
          </w: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sz w:val="48"/>
              <w:szCs w:val="56"/>
            </w:rPr>
          </w:pPr>
        </w:p>
        <w:p>
          <w:pPr>
            <w:pStyle w:val="11"/>
            <w:tabs>
              <w:tab w:val="right" w:leader="dot" w:pos="8306"/>
            </w:tabs>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TOC \o "1-2" \h \u </w:instrText>
          </w:r>
          <w:r>
            <w:rPr>
              <w:rFonts w:hint="eastAsia" w:ascii="仿宋_GB2312" w:hAnsi="仿宋_GB2312" w:eastAsia="仿宋_GB2312" w:cs="仿宋_GB2312"/>
              <w:sz w:val="28"/>
              <w:szCs w:val="28"/>
              <w:lang w:val="en-US" w:eastAsia="zh-CN"/>
            </w:rPr>
            <w:fldChar w:fldCharType="separate"/>
          </w:r>
        </w:p>
        <w:p>
          <w:pPr>
            <w:pStyle w:val="11"/>
            <w:tabs>
              <w:tab w:val="right" w:leader="dot" w:pos="8306"/>
            </w:tabs>
            <w:spacing w:line="600" w:lineRule="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_Toc17711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第一章 用户登录</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_Toc17711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3</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2"/>
            <w:tabs>
              <w:tab w:val="right" w:leader="dot" w:pos="8306"/>
            </w:tabs>
            <w:spacing w:line="600" w:lineRule="auto"/>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_Toc27247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1.1用户登录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_Toc27247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1"/>
            <w:tabs>
              <w:tab w:val="right" w:leader="dot" w:pos="8306"/>
            </w:tabs>
            <w:spacing w:line="600" w:lineRule="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_Toc14729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第二章 产品报价</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_Toc14729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6</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2"/>
            <w:tabs>
              <w:tab w:val="right" w:leader="dot" w:pos="8306"/>
            </w:tabs>
            <w:spacing w:line="60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_Toc29055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2.1设置报价解密密码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_Toc29055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2"/>
            <w:tabs>
              <w:tab w:val="right" w:leader="dot" w:pos="8306"/>
            </w:tabs>
            <w:spacing w:line="60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_Toc25138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2.2报价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_Toc25138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2"/>
            <w:tabs>
              <w:tab w:val="right" w:leader="dot" w:pos="8306"/>
            </w:tabs>
            <w:spacing w:line="60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_Toc10438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2.3解密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_Toc10438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rPr>
              <w:rFonts w:hint="eastAsia"/>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仿宋_GB2312" w:hAnsi="仿宋_GB2312" w:eastAsia="仿宋_GB2312" w:cs="仿宋_GB2312"/>
              <w:b/>
              <w:sz w:val="32"/>
              <w:szCs w:val="40"/>
              <w:lang w:val="en-US" w:eastAsia="zh-CN"/>
            </w:rPr>
            <w:fldChar w:fldCharType="end"/>
          </w:r>
        </w:p>
      </w:sdtContent>
    </w:sdt>
    <w:p>
      <w:pPr>
        <w:pStyle w:val="2"/>
        <w:numPr>
          <w:ilvl w:val="0"/>
          <w:numId w:val="1"/>
        </w:numPr>
        <w:bidi w:val="0"/>
        <w:jc w:val="center"/>
        <w:rPr>
          <w:rFonts w:hint="eastAsia" w:ascii="方正小标宋简体" w:hAnsi="方正小标宋简体" w:eastAsia="方正小标宋简体" w:cs="方正小标宋简体"/>
          <w:b w:val="0"/>
          <w:bCs/>
          <w:lang w:val="en-US" w:eastAsia="zh-CN"/>
        </w:rPr>
      </w:pPr>
      <w:bookmarkStart w:id="4" w:name="_Toc17711"/>
      <w:r>
        <w:rPr>
          <w:rFonts w:hint="eastAsia" w:ascii="方正小标宋简体" w:hAnsi="方正小标宋简体" w:eastAsia="方正小标宋简体" w:cs="方正小标宋简体"/>
          <w:b w:val="0"/>
          <w:bCs/>
          <w:lang w:val="en-US" w:eastAsia="zh-CN"/>
        </w:rPr>
        <w:t>用户登录</w:t>
      </w:r>
      <w:bookmarkEnd w:id="4"/>
    </w:p>
    <w:p>
      <w:pPr>
        <w:pStyle w:val="3"/>
        <w:bidi w:val="0"/>
        <w:outlineLvl w:val="1"/>
        <w:rPr>
          <w:rFonts w:hint="eastAsia" w:ascii="黑体" w:hAnsi="黑体" w:eastAsia="黑体" w:cs="黑体"/>
          <w:lang w:val="en-US" w:eastAsia="zh-CN"/>
        </w:rPr>
      </w:pPr>
      <w:bookmarkStart w:id="5" w:name="_Toc27247"/>
      <w:r>
        <w:rPr>
          <w:rFonts w:hint="eastAsia" w:ascii="黑体" w:hAnsi="黑体" w:eastAsia="黑体" w:cs="黑体"/>
          <w:lang w:val="en-US" w:eastAsia="zh-CN"/>
        </w:rPr>
        <w:t>用户登录</w:t>
      </w:r>
      <w:bookmarkEnd w:id="2"/>
      <w:bookmarkEnd w:id="3"/>
      <w:bookmarkEnd w:id="5"/>
    </w:p>
    <w:p>
      <w:pPr>
        <w:keepNext w:val="0"/>
        <w:keepLines w:val="0"/>
        <w:widowControl/>
        <w:suppressLineNumbers w:val="0"/>
        <w:spacing w:line="360" w:lineRule="auto"/>
        <w:ind w:left="0" w:leftChars="0" w:firstLine="0" w:firstLineChars="0"/>
        <w:jc w:val="left"/>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操作权限</w:t>
      </w:r>
    </w:p>
    <w:p>
      <w:pPr>
        <w:bidi w:val="0"/>
        <w:spacing w:line="360" w:lineRule="auto"/>
        <w:outlineLvl w:val="0"/>
        <w:rPr>
          <w:rFonts w:hint="eastAsia" w:ascii="仿宋_GB2312" w:hAnsi="仿宋_GB2312" w:eastAsia="仿宋_GB2312" w:cs="仿宋_GB2312"/>
          <w:sz w:val="32"/>
          <w:szCs w:val="32"/>
          <w:lang w:val="en-US" w:eastAsia="zh-CN"/>
        </w:rPr>
      </w:pPr>
      <w:bookmarkStart w:id="6" w:name="_Toc12717"/>
      <w:bookmarkStart w:id="7" w:name="_Toc29420"/>
      <w:bookmarkStart w:id="8" w:name="_Toc26598"/>
      <w:bookmarkStart w:id="9" w:name="_Toc6812"/>
      <w:r>
        <w:rPr>
          <w:rFonts w:hint="eastAsia" w:ascii="仿宋_GB2312" w:hAnsi="仿宋_GB2312" w:eastAsia="仿宋_GB2312" w:cs="仿宋_GB2312"/>
          <w:sz w:val="32"/>
          <w:szCs w:val="32"/>
          <w:lang w:val="en-US" w:eastAsia="zh-CN"/>
        </w:rPr>
        <w:t>需要登录药品和医用耗材招采管理子系统的用户</w:t>
      </w:r>
      <w:bookmarkEnd w:id="6"/>
      <w:bookmarkEnd w:id="7"/>
      <w:bookmarkEnd w:id="8"/>
      <w:bookmarkEnd w:id="9"/>
    </w:p>
    <w:p>
      <w:pPr>
        <w:keepNext w:val="0"/>
        <w:keepLines w:val="0"/>
        <w:widowControl/>
        <w:suppressLineNumbers w:val="0"/>
        <w:spacing w:line="360" w:lineRule="auto"/>
        <w:ind w:left="0" w:leftChars="0" w:firstLine="0" w:firstLineChars="0"/>
        <w:jc w:val="left"/>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操作步骤</w:t>
      </w:r>
    </w:p>
    <w:p>
      <w:pPr>
        <w:spacing w:line="36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用户通过甘肃医保公共服务网上服务大厅来登录药品和医用耗材招采管理子系统，登录网址：https://ybdzpz.ylbz.gansu.gov.cn/hsa-local-prod/web/hallEnter/#/Index</w:t>
      </w:r>
    </w:p>
    <w:p>
      <w:pPr>
        <w:spacing w:line="36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点击登录页面的【单位登录】，如下图；</w:t>
      </w:r>
    </w:p>
    <w:p>
      <w:r>
        <w:drawing>
          <wp:inline distT="0" distB="0" distL="114300" distR="114300">
            <wp:extent cx="5270500" cy="2794000"/>
            <wp:effectExtent l="0" t="0" r="6350" b="6350"/>
            <wp:docPr id="24"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true"/>
                    </pic:cNvPicPr>
                  </pic:nvPicPr>
                  <pic:blipFill>
                    <a:blip r:embed="rId6"/>
                    <a:stretch>
                      <a:fillRect/>
                    </a:stretch>
                  </pic:blipFill>
                  <pic:spPr>
                    <a:xfrm>
                      <a:off x="0" y="0"/>
                      <a:ext cx="5270500" cy="279400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登录方式有两种：</w:t>
      </w:r>
      <w:r>
        <w:rPr>
          <w:rFonts w:hint="eastAsia" w:ascii="仿宋_GB2312" w:hAnsi="仿宋_GB2312" w:eastAsia="仿宋_GB2312" w:cs="仿宋_GB2312"/>
          <w:b/>
          <w:bCs/>
          <w:sz w:val="32"/>
          <w:szCs w:val="32"/>
          <w:lang w:val="en-US" w:eastAsia="zh-CN"/>
        </w:rPr>
        <w:t>经办人登录</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b/>
          <w:bCs/>
          <w:sz w:val="32"/>
          <w:szCs w:val="32"/>
          <w:lang w:val="en-US" w:eastAsia="zh-CN"/>
        </w:rPr>
        <w:t>单位登录</w:t>
      </w:r>
    </w:p>
    <w:p>
      <w:pPr>
        <w:spacing w:line="36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第一：用户可选择经办人登录，如下图；</w:t>
      </w:r>
    </w:p>
    <w:p>
      <w:pPr>
        <w:pStyle w:val="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1770" cy="2446020"/>
            <wp:effectExtent l="0" t="0" r="5080" b="1905"/>
            <wp:docPr id="27"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true"/>
                    </pic:cNvPicPr>
                  </pic:nvPicPr>
                  <pic:blipFill>
                    <a:blip r:embed="rId7"/>
                    <a:stretch>
                      <a:fillRect/>
                    </a:stretch>
                  </pic:blipFill>
                  <pic:spPr>
                    <a:xfrm>
                      <a:off x="0" y="0"/>
                      <a:ext cx="5271770" cy="244602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第二：用户可选择单位登录，单位登录分为</w:t>
      </w:r>
      <w:r>
        <w:rPr>
          <w:rFonts w:hint="eastAsia" w:ascii="仿宋_GB2312" w:hAnsi="仿宋_GB2312" w:eastAsia="仿宋_GB2312" w:cs="仿宋_GB2312"/>
          <w:b/>
          <w:bCs/>
          <w:sz w:val="32"/>
          <w:szCs w:val="32"/>
          <w:lang w:val="en-US" w:eastAsia="zh-CN"/>
        </w:rPr>
        <w:t>统一社会信用代码登录</w:t>
      </w:r>
      <w:r>
        <w:rPr>
          <w:rFonts w:hint="eastAsia" w:ascii="仿宋_GB2312" w:hAnsi="仿宋_GB2312" w:eastAsia="仿宋_GB2312" w:cs="仿宋_GB2312"/>
          <w:sz w:val="32"/>
          <w:szCs w:val="32"/>
          <w:lang w:val="en-US" w:eastAsia="zh-CN"/>
        </w:rPr>
        <w:t>或</w:t>
      </w:r>
      <w:r>
        <w:rPr>
          <w:rFonts w:hint="eastAsia" w:ascii="仿宋_GB2312" w:hAnsi="仿宋_GB2312" w:eastAsia="仿宋_GB2312" w:cs="仿宋_GB2312"/>
          <w:b/>
          <w:bCs/>
          <w:sz w:val="32"/>
          <w:szCs w:val="32"/>
          <w:lang w:val="en-US" w:eastAsia="zh-CN"/>
        </w:rPr>
        <w:t>单位账号登录，</w:t>
      </w:r>
      <w:r>
        <w:rPr>
          <w:rFonts w:hint="eastAsia" w:ascii="仿宋_GB2312" w:hAnsi="仿宋_GB2312" w:eastAsia="仿宋_GB2312" w:cs="仿宋_GB2312"/>
          <w:b w:val="0"/>
          <w:bCs w:val="0"/>
          <w:sz w:val="32"/>
          <w:szCs w:val="32"/>
          <w:lang w:val="en-US" w:eastAsia="zh-CN"/>
        </w:rPr>
        <w:t>如下图；</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230" cy="2382520"/>
            <wp:effectExtent l="0" t="0" r="7620" b="8255"/>
            <wp:docPr id="26"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true"/>
                    </pic:cNvPicPr>
                  </pic:nvPicPr>
                  <pic:blipFill>
                    <a:blip r:embed="rId8"/>
                    <a:stretch>
                      <a:fillRect/>
                    </a:stretch>
                  </pic:blipFill>
                  <pic:spPr>
                    <a:xfrm>
                      <a:off x="0" y="0"/>
                      <a:ext cx="5269230" cy="2382520"/>
                    </a:xfrm>
                    <a:prstGeom prst="rect">
                      <a:avLst/>
                    </a:prstGeom>
                    <a:noFill/>
                    <a:ln>
                      <a:noFill/>
                    </a:ln>
                  </pic:spPr>
                </pic:pic>
              </a:graphicData>
            </a:graphic>
          </wp:inline>
        </w:drawing>
      </w:r>
    </w:p>
    <w:p>
      <w:pPr>
        <w:pStyle w:val="5"/>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点击</w:t>
      </w:r>
      <w:r>
        <w:rPr>
          <w:rFonts w:hint="eastAsia" w:ascii="仿宋_GB2312" w:hAnsi="仿宋_GB2312" w:eastAsia="仿宋_GB2312" w:cs="仿宋_GB2312"/>
          <w:b/>
          <w:bCs/>
          <w:kern w:val="2"/>
          <w:sz w:val="32"/>
          <w:szCs w:val="32"/>
          <w:lang w:val="en-US" w:eastAsia="zh-CN" w:bidi="ar-SA"/>
        </w:rPr>
        <w:t>进入单位网厅</w:t>
      </w:r>
      <w:r>
        <w:rPr>
          <w:rFonts w:hint="eastAsia" w:ascii="仿宋_GB2312" w:hAnsi="仿宋_GB2312" w:eastAsia="仿宋_GB2312" w:cs="仿宋_GB2312"/>
          <w:kern w:val="2"/>
          <w:sz w:val="32"/>
          <w:szCs w:val="32"/>
          <w:lang w:val="en-US" w:eastAsia="zh-CN" w:bidi="ar-SA"/>
        </w:rPr>
        <w:t>，如下图；</w:t>
      </w:r>
    </w:p>
    <w:p>
      <w:pPr>
        <w:pStyle w:val="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230" cy="2762885"/>
            <wp:effectExtent l="0" t="0" r="7620" b="8890"/>
            <wp:docPr id="28"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true"/>
                    </pic:cNvPicPr>
                  </pic:nvPicPr>
                  <pic:blipFill>
                    <a:blip r:embed="rId9"/>
                    <a:stretch>
                      <a:fillRect/>
                    </a:stretch>
                  </pic:blipFill>
                  <pic:spPr>
                    <a:xfrm>
                      <a:off x="0" y="0"/>
                      <a:ext cx="5269230" cy="2762885"/>
                    </a:xfrm>
                    <a:prstGeom prst="rect">
                      <a:avLst/>
                    </a:prstGeom>
                    <a:noFill/>
                    <a:ln>
                      <a:noFill/>
                    </a:ln>
                  </pic:spPr>
                </pic:pic>
              </a:graphicData>
            </a:graphic>
          </wp:inline>
        </w:drawing>
      </w:r>
    </w:p>
    <w:p>
      <w:pPr>
        <w:pStyle w:val="5"/>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选择</w:t>
      </w:r>
      <w:r>
        <w:rPr>
          <w:rFonts w:hint="eastAsia" w:ascii="仿宋_GB2312" w:hAnsi="仿宋_GB2312" w:eastAsia="仿宋_GB2312" w:cs="仿宋_GB2312"/>
          <w:b/>
          <w:bCs/>
          <w:kern w:val="2"/>
          <w:sz w:val="32"/>
          <w:szCs w:val="32"/>
          <w:lang w:val="en-US" w:eastAsia="zh-CN" w:bidi="ar-SA"/>
        </w:rPr>
        <w:t>招采企业服务</w:t>
      </w:r>
      <w:r>
        <w:rPr>
          <w:rFonts w:hint="eastAsia" w:ascii="仿宋_GB2312" w:hAnsi="仿宋_GB2312" w:eastAsia="仿宋_GB2312" w:cs="仿宋_GB2312"/>
          <w:kern w:val="2"/>
          <w:sz w:val="32"/>
          <w:szCs w:val="32"/>
          <w:lang w:val="en-US" w:eastAsia="zh-CN" w:bidi="ar-SA"/>
        </w:rPr>
        <w:t>模块，点击下方</w:t>
      </w:r>
      <w:r>
        <w:rPr>
          <w:rFonts w:hint="eastAsia" w:ascii="仿宋_GB2312" w:hAnsi="仿宋_GB2312" w:eastAsia="仿宋_GB2312" w:cs="仿宋_GB2312"/>
          <w:b/>
          <w:bCs/>
          <w:kern w:val="2"/>
          <w:sz w:val="32"/>
          <w:szCs w:val="32"/>
          <w:lang w:val="en-US" w:eastAsia="zh-CN" w:bidi="ar-SA"/>
        </w:rPr>
        <w:t>立即查看</w:t>
      </w:r>
      <w:r>
        <w:rPr>
          <w:rFonts w:hint="eastAsia" w:ascii="仿宋_GB2312" w:hAnsi="仿宋_GB2312" w:eastAsia="仿宋_GB2312" w:cs="仿宋_GB2312"/>
          <w:kern w:val="2"/>
          <w:sz w:val="32"/>
          <w:szCs w:val="32"/>
          <w:lang w:val="en-US" w:eastAsia="zh-CN" w:bidi="ar-SA"/>
        </w:rPr>
        <w:t>，如下图；</w:t>
      </w:r>
    </w:p>
    <w:p>
      <w:pPr>
        <w:pStyle w:val="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055" cy="2322830"/>
            <wp:effectExtent l="0" t="0" r="1270" b="1270"/>
            <wp:docPr id="29"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true"/>
                    </pic:cNvPicPr>
                  </pic:nvPicPr>
                  <pic:blipFill>
                    <a:blip r:embed="rId10"/>
                    <a:stretch>
                      <a:fillRect/>
                    </a:stretch>
                  </pic:blipFill>
                  <pic:spPr>
                    <a:xfrm>
                      <a:off x="0" y="0"/>
                      <a:ext cx="5266055" cy="232283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勾选需要进入的企业角色，点击</w:t>
      </w:r>
      <w:r>
        <w:rPr>
          <w:rFonts w:hint="eastAsia" w:ascii="仿宋_GB2312" w:hAnsi="仿宋_GB2312" w:eastAsia="仿宋_GB2312" w:cs="仿宋_GB2312"/>
          <w:b/>
          <w:bCs/>
          <w:sz w:val="32"/>
          <w:szCs w:val="32"/>
          <w:lang w:val="en-US" w:eastAsia="zh-CN"/>
        </w:rPr>
        <w:t>确认</w:t>
      </w:r>
      <w:r>
        <w:rPr>
          <w:rFonts w:hint="eastAsia" w:ascii="仿宋_GB2312" w:hAnsi="仿宋_GB2312" w:eastAsia="仿宋_GB2312" w:cs="仿宋_GB2312"/>
          <w:sz w:val="32"/>
          <w:szCs w:val="32"/>
          <w:lang w:val="en-US" w:eastAsia="zh-CN"/>
        </w:rPr>
        <w:t>按钮，即可进入药品和医用耗材招采管理子系统首页，如下图；</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4310" cy="1748155"/>
            <wp:effectExtent l="0" t="0" r="2540" b="4445"/>
            <wp:docPr id="30"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true"/>
                    </pic:cNvPicPr>
                  </pic:nvPicPr>
                  <pic:blipFill>
                    <a:blip r:embed="rId11"/>
                    <a:stretch>
                      <a:fillRect/>
                    </a:stretch>
                  </pic:blipFill>
                  <pic:spPr>
                    <a:xfrm>
                      <a:off x="0" y="0"/>
                      <a:ext cx="5274310" cy="1748155"/>
                    </a:xfrm>
                    <a:prstGeom prst="rect">
                      <a:avLst/>
                    </a:prstGeom>
                    <a:noFill/>
                    <a:ln>
                      <a:noFill/>
                    </a:ln>
                  </pic:spPr>
                </pic:pic>
              </a:graphicData>
            </a:graphic>
          </wp:inline>
        </w:drawing>
      </w:r>
    </w:p>
    <w:p>
      <w:pPr>
        <w:pStyle w:val="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312410" cy="1983740"/>
            <wp:effectExtent l="0" t="0" r="2540" b="6985"/>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12"/>
                    <a:stretch>
                      <a:fillRect/>
                    </a:stretch>
                  </pic:blipFill>
                  <pic:spPr>
                    <a:xfrm>
                      <a:off x="0" y="0"/>
                      <a:ext cx="5312410" cy="1983740"/>
                    </a:xfrm>
                    <a:prstGeom prst="rect">
                      <a:avLst/>
                    </a:prstGeom>
                    <a:noFill/>
                    <a:ln w="9525">
                      <a:noFill/>
                    </a:ln>
                  </pic:spPr>
                </pic:pic>
              </a:graphicData>
            </a:graphic>
          </wp:inline>
        </w:drawing>
      </w:r>
    </w:p>
    <w:p>
      <w:pPr>
        <w:keepNext w:val="0"/>
        <w:keepLines w:val="0"/>
        <w:widowControl/>
        <w:suppressLineNumbers w:val="0"/>
        <w:spacing w:line="360" w:lineRule="auto"/>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FF0000"/>
          <w:kern w:val="0"/>
          <w:sz w:val="32"/>
          <w:szCs w:val="32"/>
          <w:lang w:val="en-US" w:eastAsia="zh-CN" w:bidi="ar"/>
        </w:rPr>
        <w:t>注意：</w:t>
      </w:r>
      <w:r>
        <w:rPr>
          <w:rFonts w:hint="eastAsia" w:ascii="仿宋_GB2312" w:hAnsi="仿宋_GB2312" w:eastAsia="仿宋_GB2312" w:cs="仿宋_GB2312"/>
          <w:color w:val="000000"/>
          <w:kern w:val="0"/>
          <w:sz w:val="32"/>
          <w:szCs w:val="32"/>
          <w:lang w:val="en-US" w:eastAsia="zh-CN" w:bidi="ar"/>
        </w:rPr>
        <w:t>用户通过医保公共服务平台登录招采系统具体操作手册可查看《</w:t>
      </w:r>
      <w:r>
        <w:rPr>
          <w:rFonts w:hint="eastAsia" w:ascii="仿宋_GB2312" w:hAnsi="仿宋_GB2312" w:eastAsia="仿宋_GB2312" w:cs="仿宋_GB2312"/>
          <w:kern w:val="0"/>
          <w:sz w:val="32"/>
          <w:szCs w:val="32"/>
          <w:lang w:val="en-US" w:eastAsia="zh-CN" w:bidi="ar"/>
        </w:rPr>
        <w:t xml:space="preserve">甘肃医保公共服务网上服务大厅登录和认证操作手册 ： </w:t>
      </w:r>
      <w:r>
        <w:rPr>
          <w:rFonts w:hint="eastAsia" w:ascii="仿宋_GB2312" w:hAnsi="仿宋_GB2312" w:eastAsia="仿宋_GB2312" w:cs="仿宋_GB2312"/>
          <w:kern w:val="0"/>
          <w:sz w:val="32"/>
          <w:szCs w:val="32"/>
          <w:lang w:val="en-US" w:eastAsia="zh-CN" w:bidi="ar"/>
        </w:rPr>
        <w:fldChar w:fldCharType="begin"/>
      </w:r>
      <w:r>
        <w:rPr>
          <w:rFonts w:hint="eastAsia" w:ascii="仿宋_GB2312" w:hAnsi="仿宋_GB2312" w:eastAsia="仿宋_GB2312" w:cs="仿宋_GB2312"/>
          <w:kern w:val="0"/>
          <w:sz w:val="32"/>
          <w:szCs w:val="32"/>
          <w:lang w:val="en-US" w:eastAsia="zh-CN" w:bidi="ar"/>
        </w:rPr>
        <w:instrText xml:space="preserve"> HYPERLINK "https://pub.kdocs.cn/t/txsjtRnPsJb1adq" </w:instrText>
      </w:r>
      <w:r>
        <w:rPr>
          <w:rFonts w:hint="eastAsia" w:ascii="仿宋_GB2312" w:hAnsi="仿宋_GB2312" w:eastAsia="仿宋_GB2312" w:cs="仿宋_GB2312"/>
          <w:kern w:val="0"/>
          <w:sz w:val="32"/>
          <w:szCs w:val="32"/>
          <w:lang w:val="en-US" w:eastAsia="zh-CN" w:bidi="ar"/>
        </w:rPr>
        <w:fldChar w:fldCharType="separate"/>
      </w:r>
      <w:r>
        <w:rPr>
          <w:rStyle w:val="10"/>
          <w:rFonts w:hint="eastAsia" w:ascii="仿宋_GB2312" w:hAnsi="仿宋_GB2312" w:eastAsia="仿宋_GB2312" w:cs="仿宋_GB2312"/>
          <w:sz w:val="32"/>
          <w:szCs w:val="32"/>
        </w:rPr>
        <w:t>https://pub.kdocs.cn/t/txsjtRnPsJb1adq</w:t>
      </w:r>
      <w:r>
        <w:rPr>
          <w:rFonts w:hint="eastAsia" w:ascii="仿宋_GB2312" w:hAnsi="仿宋_GB2312" w:eastAsia="仿宋_GB2312" w:cs="仿宋_GB2312"/>
          <w:kern w:val="0"/>
          <w:sz w:val="32"/>
          <w:szCs w:val="32"/>
          <w:lang w:val="en-US" w:eastAsia="zh-CN" w:bidi="ar"/>
        </w:rPr>
        <w:fldChar w:fldCharType="end"/>
      </w:r>
      <w:r>
        <w:rPr>
          <w:rFonts w:hint="eastAsia" w:ascii="仿宋_GB2312" w:hAnsi="仿宋_GB2312" w:eastAsia="仿宋_GB2312" w:cs="仿宋_GB2312"/>
          <w:color w:val="000000"/>
          <w:kern w:val="0"/>
          <w:sz w:val="32"/>
          <w:szCs w:val="32"/>
          <w:lang w:val="en-US" w:eastAsia="zh-CN" w:bidi="ar"/>
        </w:rPr>
        <w:t>》</w:t>
      </w:r>
    </w:p>
    <w:p>
      <w:pPr>
        <w:rPr>
          <w:rFonts w:hint="default"/>
          <w:lang w:val="en-US" w:eastAsia="zh-CN"/>
        </w:rPr>
      </w:pPr>
    </w:p>
    <w:p>
      <w:pPr>
        <w:rPr>
          <w:rFonts w:hint="default"/>
          <w:lang w:val="en-US" w:eastAsia="zh-CN"/>
        </w:rPr>
      </w:pPr>
    </w:p>
    <w:p/>
    <w:p>
      <w:pPr>
        <w:pStyle w:val="2"/>
        <w:numPr>
          <w:ilvl w:val="0"/>
          <w:numId w:val="1"/>
        </w:numPr>
        <w:bidi w:val="0"/>
        <w:ind w:left="0" w:leftChars="0" w:firstLine="0" w:firstLineChars="0"/>
        <w:jc w:val="center"/>
        <w:rPr>
          <w:rFonts w:hint="eastAsia" w:ascii="方正小标宋简体" w:hAnsi="方正小标宋简体" w:eastAsia="方正小标宋简体" w:cs="方正小标宋简体"/>
          <w:b w:val="0"/>
          <w:bCs/>
          <w:lang w:val="en-US" w:eastAsia="zh-CN"/>
        </w:rPr>
      </w:pPr>
      <w:bookmarkStart w:id="10" w:name="_Toc27726"/>
      <w:bookmarkStart w:id="11" w:name="_Toc14729"/>
      <w:r>
        <w:rPr>
          <w:rFonts w:hint="eastAsia" w:ascii="方正小标宋简体" w:hAnsi="方正小标宋简体" w:eastAsia="方正小标宋简体" w:cs="方正小标宋简体"/>
          <w:b w:val="0"/>
          <w:bCs/>
          <w:lang w:val="en-US" w:eastAsia="zh-CN"/>
        </w:rPr>
        <w:t>产品报价</w:t>
      </w:r>
      <w:bookmarkEnd w:id="10"/>
      <w:bookmarkEnd w:id="11"/>
    </w:p>
    <w:p>
      <w:pPr>
        <w:numPr>
          <w:ilvl w:val="0"/>
          <w:numId w:val="0"/>
        </w:numPr>
        <w:ind w:left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highlight w:val="yellow"/>
          <w:lang w:val="en-US" w:eastAsia="zh-CN"/>
        </w:rPr>
        <w:t>报价解密流程：</w:t>
      </w:r>
      <w:r>
        <w:rPr>
          <w:rFonts w:hint="eastAsia" w:ascii="仿宋_GB2312" w:hAnsi="仿宋_GB2312" w:eastAsia="仿宋_GB2312" w:cs="仿宋_GB2312"/>
          <w:sz w:val="32"/>
          <w:szCs w:val="32"/>
          <w:lang w:val="en-US" w:eastAsia="zh-CN"/>
        </w:rPr>
        <w:t>①第一步请设置报价解密密码。②第二步进行报价。③第三步进行解密</w:t>
      </w:r>
    </w:p>
    <w:p>
      <w:pPr>
        <w:pStyle w:val="4"/>
        <w:bidi w:val="0"/>
        <w:outlineLvl w:val="1"/>
        <w:rPr>
          <w:rFonts w:hint="eastAsia" w:ascii="黑体" w:hAnsi="黑体" w:eastAsia="黑体" w:cs="黑体"/>
          <w:b w:val="0"/>
          <w:bCs/>
          <w:lang w:val="en-US" w:eastAsia="zh-CN"/>
        </w:rPr>
      </w:pPr>
      <w:bookmarkStart w:id="12" w:name="_Toc29055"/>
      <w:r>
        <w:rPr>
          <w:rFonts w:hint="eastAsia" w:ascii="黑体" w:hAnsi="黑体" w:eastAsia="黑体" w:cs="黑体"/>
          <w:b w:val="0"/>
          <w:bCs/>
          <w:lang w:val="en-US" w:eastAsia="zh-CN"/>
        </w:rPr>
        <w:t>2.1设置报价解密密码</w:t>
      </w:r>
      <w:bookmarkEnd w:id="12"/>
    </w:p>
    <w:p>
      <w:pPr>
        <w:numPr>
          <w:ilvl w:val="0"/>
          <w:numId w:val="0"/>
        </w:numPr>
        <w:ind w:leftChars="0"/>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点击</w:t>
      </w:r>
      <w:r>
        <w:rPr>
          <w:rFonts w:hint="eastAsia" w:ascii="仿宋_GB2312" w:hAnsi="仿宋_GB2312" w:eastAsia="仿宋_GB2312" w:cs="仿宋_GB2312"/>
          <w:b/>
          <w:bCs/>
          <w:sz w:val="32"/>
          <w:szCs w:val="40"/>
          <w:lang w:val="en-US" w:eastAsia="zh-CN"/>
        </w:rPr>
        <w:t>【配方颗粒二次报价】—【产品报价】</w:t>
      </w:r>
      <w:r>
        <w:rPr>
          <w:rFonts w:hint="eastAsia" w:ascii="仿宋_GB2312" w:hAnsi="仿宋_GB2312" w:eastAsia="仿宋_GB2312" w:cs="仿宋_GB2312"/>
          <w:sz w:val="32"/>
          <w:szCs w:val="40"/>
          <w:lang w:val="en-US" w:eastAsia="zh-CN"/>
        </w:rPr>
        <w:t>进入报价页面，如下图；</w:t>
      </w:r>
    </w:p>
    <w:p>
      <w:r>
        <w:drawing>
          <wp:inline distT="0" distB="0" distL="114300" distR="114300">
            <wp:extent cx="5266690" cy="1800225"/>
            <wp:effectExtent l="0" t="0" r="635"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3"/>
                    <a:stretch>
                      <a:fillRect/>
                    </a:stretch>
                  </pic:blipFill>
                  <pic:spPr>
                    <a:xfrm>
                      <a:off x="0" y="0"/>
                      <a:ext cx="5266690" cy="1800225"/>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报价开始前设置密码</w:t>
      </w:r>
      <w:r>
        <w:rPr>
          <w:rFonts w:hint="eastAsia" w:ascii="仿宋_GB2312" w:hAnsi="仿宋_GB2312" w:eastAsia="仿宋_GB2312" w:cs="仿宋_GB2312"/>
          <w:sz w:val="32"/>
          <w:szCs w:val="32"/>
          <w:lang w:val="en-US" w:eastAsia="zh-CN"/>
        </w:rPr>
        <w:t>，密码满足大写字母，小写字母，数字和特殊字符，其中任意三种组合，且</w:t>
      </w:r>
      <w:r>
        <w:rPr>
          <w:rFonts w:hint="eastAsia" w:ascii="仿宋_GB2312" w:hAnsi="仿宋_GB2312" w:eastAsia="仿宋_GB2312" w:cs="仿宋_GB2312"/>
          <w:b/>
          <w:bCs/>
          <w:sz w:val="32"/>
          <w:szCs w:val="32"/>
          <w:highlight w:val="lightGray"/>
          <w:lang w:val="en-US" w:eastAsia="zh-CN"/>
        </w:rPr>
        <w:t>长度在8到20</w:t>
      </w:r>
      <w:r>
        <w:rPr>
          <w:rFonts w:hint="eastAsia" w:ascii="仿宋_GB2312" w:hAnsi="仿宋_GB2312" w:eastAsia="仿宋_GB2312" w:cs="仿宋_GB2312"/>
          <w:sz w:val="32"/>
          <w:szCs w:val="32"/>
          <w:lang w:val="en-US" w:eastAsia="zh-CN"/>
        </w:rPr>
        <w:t>之间，请务必将设置好的解密密码妥善保存，以免解密时找不到密码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如下图；</w:t>
      </w:r>
    </w:p>
    <w:p>
      <w:pPr>
        <w:spacing w:line="360" w:lineRule="auto"/>
      </w:pPr>
      <w:r>
        <w:drawing>
          <wp:inline distT="0" distB="0" distL="114300" distR="114300">
            <wp:extent cx="5264785" cy="2282190"/>
            <wp:effectExtent l="0" t="0" r="2540" b="381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4"/>
                    <a:stretch>
                      <a:fillRect/>
                    </a:stretch>
                  </pic:blipFill>
                  <pic:spPr>
                    <a:xfrm>
                      <a:off x="0" y="0"/>
                      <a:ext cx="5264785" cy="2282190"/>
                    </a:xfrm>
                    <a:prstGeom prst="rect">
                      <a:avLst/>
                    </a:prstGeom>
                    <a:noFill/>
                    <a:ln>
                      <a:noFill/>
                    </a:ln>
                  </pic:spPr>
                </pic:pic>
              </a:graphicData>
            </a:graphic>
          </wp:inline>
        </w:drawing>
      </w:r>
    </w:p>
    <w:p>
      <w:pPr>
        <w:pStyle w:val="4"/>
        <w:bidi w:val="0"/>
        <w:outlineLvl w:val="1"/>
        <w:rPr>
          <w:rFonts w:hint="eastAsia" w:ascii="黑体" w:hAnsi="黑体" w:eastAsia="黑体" w:cs="黑体"/>
          <w:b w:val="0"/>
          <w:bCs/>
          <w:lang w:val="en-US" w:eastAsia="zh-CN"/>
        </w:rPr>
      </w:pPr>
      <w:bookmarkStart w:id="13" w:name="_Toc25138"/>
      <w:r>
        <w:rPr>
          <w:rFonts w:hint="eastAsia" w:ascii="黑体" w:hAnsi="黑体" w:eastAsia="黑体" w:cs="黑体"/>
          <w:b w:val="0"/>
          <w:bCs/>
          <w:lang w:val="en-US" w:eastAsia="zh-CN"/>
        </w:rPr>
        <w:t>2.2报价</w:t>
      </w:r>
      <w:bookmarkEnd w:id="13"/>
    </w:p>
    <w:p>
      <w:pPr>
        <w:spacing w:line="360" w:lineRule="auto"/>
        <w:rPr>
          <w:rFonts w:hint="eastAsia" w:ascii="仿宋_GB2312" w:hAnsi="仿宋_GB2312" w:eastAsia="仿宋_GB2312" w:cs="仿宋_GB2312"/>
          <w:b/>
          <w:bCs/>
          <w:color w:val="C00000"/>
          <w:sz w:val="32"/>
          <w:szCs w:val="32"/>
          <w:lang w:val="en-US" w:eastAsia="zh-CN"/>
        </w:rPr>
      </w:pPr>
      <w:r>
        <w:rPr>
          <w:rFonts w:hint="eastAsia" w:ascii="仿宋_GB2312" w:hAnsi="仿宋_GB2312" w:eastAsia="仿宋_GB2312" w:cs="仿宋_GB2312"/>
          <w:b/>
          <w:bCs/>
          <w:color w:val="C00000"/>
          <w:sz w:val="32"/>
          <w:szCs w:val="32"/>
          <w:lang w:val="en-US" w:eastAsia="zh-CN"/>
        </w:rPr>
        <w:t>温馨提示：</w:t>
      </w:r>
    </w:p>
    <w:p>
      <w:pPr>
        <w:spacing w:line="36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C00000"/>
          <w:sz w:val="32"/>
          <w:szCs w:val="32"/>
          <w:lang w:val="en-US" w:eastAsia="zh-CN"/>
        </w:rPr>
        <w:t>在规定时间内未报价，在规定时间内未解密，则视为自动放弃入围资格</w:t>
      </w:r>
      <w:r>
        <w:rPr>
          <w:rFonts w:hint="eastAsia" w:ascii="仿宋_GB2312" w:hAnsi="仿宋_GB2312" w:eastAsia="仿宋_GB2312" w:cs="仿宋_GB2312"/>
          <w:b/>
          <w:bCs/>
          <w:sz w:val="32"/>
          <w:szCs w:val="32"/>
          <w:lang w:val="en-US" w:eastAsia="zh-CN"/>
        </w:rPr>
        <w:t>。</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规定时间内操作报价，报价保留小数点后3位。</w:t>
      </w:r>
    </w:p>
    <w:p>
      <w:pPr>
        <w:spacing w:line="360" w:lineRule="auto"/>
        <w:rPr>
          <w:rFonts w:hint="eastAsia"/>
          <w:sz w:val="24"/>
          <w:szCs w:val="24"/>
          <w:lang w:val="en-US" w:eastAsia="zh-CN"/>
        </w:rPr>
      </w:pPr>
      <w:r>
        <w:rPr>
          <w:rFonts w:hint="eastAsia" w:ascii="仿宋_GB2312" w:hAnsi="仿宋_GB2312" w:eastAsia="仿宋_GB2312" w:cs="仿宋_GB2312"/>
          <w:sz w:val="32"/>
          <w:szCs w:val="32"/>
          <w:lang w:val="en-US" w:eastAsia="zh-CN"/>
        </w:rPr>
        <w:t>在【企业报价】一列中填写产品报价价格，填写完毕后勾选报价数据，点击【批量报价】按钮，如下图</w:t>
      </w:r>
    </w:p>
    <w:p>
      <w:r>
        <w:rPr>
          <w:rFonts w:ascii="宋体" w:hAnsi="宋体" w:eastAsia="宋体" w:cs="宋体"/>
          <w:sz w:val="24"/>
          <w:szCs w:val="24"/>
        </w:rPr>
        <w:drawing>
          <wp:inline distT="0" distB="0" distL="114300" distR="114300">
            <wp:extent cx="5388610" cy="2167890"/>
            <wp:effectExtent l="0" t="0" r="2540" b="3810"/>
            <wp:docPr id="10" name="图片 10"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true"/>
                    </pic:cNvPicPr>
                  </pic:nvPicPr>
                  <pic:blipFill>
                    <a:blip r:embed="rId15"/>
                    <a:stretch>
                      <a:fillRect/>
                    </a:stretch>
                  </pic:blipFill>
                  <pic:spPr>
                    <a:xfrm>
                      <a:off x="0" y="0"/>
                      <a:ext cx="5388610" cy="2167890"/>
                    </a:xfrm>
                    <a:prstGeom prst="rect">
                      <a:avLst/>
                    </a:prstGeom>
                    <a:noFill/>
                    <a:ln w="9525">
                      <a:noFill/>
                    </a:ln>
                  </pic:spPr>
                </pic:pic>
              </a:graphicData>
            </a:graphic>
          </wp:inline>
        </w:drawing>
      </w:r>
    </w:p>
    <w:p>
      <w:pPr>
        <w:rPr>
          <w:rFonts w:hint="eastAsia" w:ascii="仿宋_GB2312" w:hAnsi="仿宋_GB2312" w:eastAsia="仿宋_GB2312" w:cs="仿宋_GB2312"/>
          <w:b/>
          <w:bCs/>
          <w:sz w:val="32"/>
          <w:szCs w:val="32"/>
          <w:highlight w:val="yellow"/>
          <w:lang w:val="en-US" w:eastAsia="zh-CN"/>
        </w:rPr>
      </w:pPr>
      <w:r>
        <w:rPr>
          <w:rFonts w:hint="eastAsia" w:ascii="仿宋_GB2312" w:hAnsi="仿宋_GB2312" w:eastAsia="仿宋_GB2312" w:cs="仿宋_GB2312"/>
          <w:b/>
          <w:bCs/>
          <w:sz w:val="32"/>
          <w:szCs w:val="32"/>
          <w:highlight w:val="yellow"/>
          <w:lang w:val="en-US" w:eastAsia="zh-CN"/>
        </w:rPr>
        <w:t>注意：</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trike/>
          <w:dstrike w:val="0"/>
          <w:sz w:val="32"/>
          <w:szCs w:val="32"/>
          <w:lang w:val="en-US" w:eastAsia="zh-CN"/>
        </w:rPr>
      </w:pPr>
      <w:r>
        <w:rPr>
          <w:rFonts w:hint="eastAsia" w:ascii="仿宋_GB2312" w:hAnsi="仿宋_GB2312" w:eastAsia="仿宋_GB2312" w:cs="仿宋_GB2312"/>
          <w:b w:val="0"/>
          <w:bCs w:val="0"/>
          <w:i w:val="0"/>
          <w:iCs w:val="0"/>
          <w:caps w:val="0"/>
          <w:color w:val="auto"/>
          <w:spacing w:val="0"/>
          <w:kern w:val="0"/>
          <w:sz w:val="32"/>
          <w:szCs w:val="32"/>
          <w:highlight w:val="none"/>
          <w:shd w:val="clear" w:color="auto" w:fill="FFFFFF"/>
          <w:vertAlign w:val="baseline"/>
          <w:lang w:val="en-US" w:eastAsia="zh-CN" w:bidi="ar"/>
        </w:rPr>
        <w:t>1、首次报价结果及</w:t>
      </w:r>
      <w:r>
        <w:rPr>
          <w:rFonts w:hint="eastAsia" w:ascii="仿宋_GB2312" w:hAnsi="仿宋_GB2312" w:eastAsia="仿宋_GB2312" w:cs="仿宋_GB2312"/>
          <w:b w:val="0"/>
          <w:bCs w:val="0"/>
          <w:color w:val="auto"/>
          <w:kern w:val="0"/>
          <w:sz w:val="32"/>
          <w:szCs w:val="32"/>
          <w:lang w:val="en-US" w:eastAsia="zh-CN" w:bidi="ar"/>
        </w:rPr>
        <w:t>同品种平均中选价</w:t>
      </w:r>
      <w:r>
        <w:rPr>
          <w:rFonts w:hint="eastAsia" w:ascii="仿宋_GB2312" w:hAnsi="仿宋_GB2312" w:eastAsia="仿宋_GB2312" w:cs="仿宋_GB2312"/>
          <w:b w:val="0"/>
          <w:bCs w:val="0"/>
          <w:i w:val="0"/>
          <w:iCs w:val="0"/>
          <w:caps w:val="0"/>
          <w:color w:val="auto"/>
          <w:spacing w:val="0"/>
          <w:kern w:val="0"/>
          <w:sz w:val="32"/>
          <w:szCs w:val="32"/>
          <w:highlight w:val="none"/>
          <w:shd w:val="clear" w:color="auto" w:fill="FFFFFF"/>
          <w:vertAlign w:val="baseline"/>
          <w:lang w:val="en-US" w:eastAsia="zh-CN" w:bidi="ar"/>
        </w:rPr>
        <w:t>已导入至二次报价模块。</w:t>
      </w:r>
      <w:r>
        <w:rPr>
          <w:rFonts w:hint="eastAsia" w:ascii="仿宋_GB2312" w:hAnsi="仿宋_GB2312" w:eastAsia="仿宋_GB2312" w:cs="仿宋_GB2312"/>
          <w:b/>
          <w:bCs/>
          <w:i w:val="0"/>
          <w:iCs w:val="0"/>
          <w:caps w:val="0"/>
          <w:strike w:val="0"/>
          <w:dstrike w:val="0"/>
          <w:color w:val="auto"/>
          <w:spacing w:val="0"/>
          <w:kern w:val="0"/>
          <w:sz w:val="32"/>
          <w:szCs w:val="32"/>
          <w:highlight w:val="none"/>
          <w:shd w:val="clear" w:color="auto" w:fill="FFFFFF"/>
          <w:vertAlign w:val="baseline"/>
          <w:lang w:val="en-US" w:eastAsia="zh-CN" w:bidi="ar"/>
        </w:rPr>
        <w:t>对于省级集采中选产品</w:t>
      </w:r>
      <w:r>
        <w:rPr>
          <w:rFonts w:hint="eastAsia" w:ascii="仿宋_GB2312" w:hAnsi="仿宋_GB2312" w:eastAsia="仿宋_GB2312" w:cs="仿宋_GB2312"/>
          <w:b w:val="0"/>
          <w:bCs w:val="0"/>
          <w:i w:val="0"/>
          <w:iCs w:val="0"/>
          <w:caps w:val="0"/>
          <w:strike w:val="0"/>
          <w:dstrike w:val="0"/>
          <w:color w:val="auto"/>
          <w:spacing w:val="0"/>
          <w:kern w:val="0"/>
          <w:sz w:val="32"/>
          <w:szCs w:val="32"/>
          <w:highlight w:val="none"/>
          <w:shd w:val="clear" w:color="auto" w:fill="FFFFFF"/>
          <w:vertAlign w:val="baseline"/>
          <w:lang w:val="en-US" w:eastAsia="zh-CN" w:bidi="ar"/>
        </w:rPr>
        <w:t>，</w:t>
      </w:r>
      <w:r>
        <w:rPr>
          <w:rFonts w:hint="eastAsia" w:ascii="仿宋_GB2312" w:hAnsi="仿宋_GB2312" w:eastAsia="仿宋_GB2312" w:cs="仿宋_GB2312"/>
          <w:b w:val="0"/>
          <w:bCs w:val="0"/>
          <w:i w:val="0"/>
          <w:iCs w:val="0"/>
          <w:caps w:val="0"/>
          <w:color w:val="auto"/>
          <w:spacing w:val="0"/>
          <w:kern w:val="0"/>
          <w:sz w:val="32"/>
          <w:szCs w:val="32"/>
          <w:highlight w:val="none"/>
          <w:shd w:val="clear" w:color="auto" w:fill="FFFFFF"/>
          <w:vertAlign w:val="baseline"/>
          <w:lang w:val="en-US" w:eastAsia="zh-CN" w:bidi="ar"/>
        </w:rPr>
        <w:t>如企业二次报价与首次报价相同，勾选对应产品后点击一键填充价格，点击批量报价即可；如企业二次报价低于首次报价，需填写申报价，勾选对应产品后点击批量报价即可；如企业放弃申报该产品，无需操作。</w:t>
      </w:r>
      <w:r>
        <w:rPr>
          <w:rFonts w:hint="eastAsia" w:ascii="仿宋_GB2312" w:hAnsi="仿宋_GB2312" w:eastAsia="仿宋_GB2312" w:cs="仿宋_GB2312"/>
          <w:b/>
          <w:bCs/>
          <w:i w:val="0"/>
          <w:iCs w:val="0"/>
          <w:caps w:val="0"/>
          <w:color w:val="auto"/>
          <w:spacing w:val="0"/>
          <w:kern w:val="0"/>
          <w:sz w:val="32"/>
          <w:szCs w:val="32"/>
          <w:highlight w:val="none"/>
          <w:shd w:val="clear" w:color="auto" w:fill="FFFFFF"/>
          <w:vertAlign w:val="baseline"/>
          <w:lang w:val="en-US" w:eastAsia="zh-CN" w:bidi="ar"/>
        </w:rPr>
        <w:t>对于省级集采非中选产品</w:t>
      </w:r>
      <w:r>
        <w:rPr>
          <w:rFonts w:hint="eastAsia" w:ascii="仿宋_GB2312" w:hAnsi="仿宋_GB2312" w:eastAsia="仿宋_GB2312" w:cs="仿宋_GB2312"/>
          <w:b w:val="0"/>
          <w:bCs w:val="0"/>
          <w:i w:val="0"/>
          <w:iCs w:val="0"/>
          <w:caps w:val="0"/>
          <w:color w:val="auto"/>
          <w:spacing w:val="0"/>
          <w:kern w:val="0"/>
          <w:sz w:val="32"/>
          <w:szCs w:val="32"/>
          <w:highlight w:val="none"/>
          <w:shd w:val="clear" w:color="auto" w:fill="FFFFFF"/>
          <w:vertAlign w:val="baseline"/>
          <w:lang w:val="en-US" w:eastAsia="zh-CN" w:bidi="ar"/>
        </w:rPr>
        <w:t>，如二次报价与首次报价及同品种平均中选价两者中的低值相同，勾选对应产品后点击一键填充价格，填充价格为首次报价与同品种平均中选价两者中的低值，点击批量报价即可；如二次报价低于首次报价及同品种平均中选价两者中的低值，需填写申报价，勾选对应产品后点击批量报价即可；如企业放弃申报该产品，无需操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2、报价价格</w:t>
      </w:r>
      <w:r>
        <w:rPr>
          <w:rFonts w:hint="eastAsia" w:ascii="仿宋_GB2312" w:hAnsi="仿宋_GB2312" w:eastAsia="仿宋_GB2312" w:cs="仿宋_GB2312"/>
          <w:b/>
          <w:bCs/>
          <w:color w:val="FF0000"/>
          <w:sz w:val="32"/>
          <w:szCs w:val="32"/>
          <w:lang w:val="en-US" w:eastAsia="zh-CN"/>
        </w:rPr>
        <w:t>不得有空格</w:t>
      </w:r>
      <w:r>
        <w:rPr>
          <w:rFonts w:hint="eastAsia" w:ascii="仿宋_GB2312" w:hAnsi="仿宋_GB2312" w:eastAsia="仿宋_GB2312" w:cs="仿宋_GB2312"/>
          <w:sz w:val="32"/>
          <w:szCs w:val="32"/>
          <w:lang w:val="en-US" w:eastAsia="zh-CN"/>
        </w:rPr>
        <w:t>，否则无法提交。报价完成后，如下图</w:t>
      </w:r>
    </w:p>
    <w:p>
      <w:pPr>
        <w:numPr>
          <w:ilvl w:val="0"/>
          <w:numId w:val="0"/>
        </w:numPr>
        <w:rPr>
          <w:rFonts w:hint="default"/>
          <w:lang w:val="en-US" w:eastAsia="zh-CN"/>
        </w:rPr>
      </w:pPr>
      <w:r>
        <w:rPr>
          <w:rFonts w:ascii="宋体" w:hAnsi="宋体" w:eastAsia="宋体" w:cs="宋体"/>
          <w:sz w:val="24"/>
          <w:szCs w:val="24"/>
        </w:rPr>
        <w:drawing>
          <wp:inline distT="0" distB="0" distL="114300" distR="114300">
            <wp:extent cx="5393055" cy="2061845"/>
            <wp:effectExtent l="0" t="0" r="7620" b="5080"/>
            <wp:docPr id="11" name="图片 1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true"/>
                    </pic:cNvPicPr>
                  </pic:nvPicPr>
                  <pic:blipFill>
                    <a:blip r:embed="rId16"/>
                    <a:stretch>
                      <a:fillRect/>
                    </a:stretch>
                  </pic:blipFill>
                  <pic:spPr>
                    <a:xfrm>
                      <a:off x="0" y="0"/>
                      <a:ext cx="5393055" cy="2061845"/>
                    </a:xfrm>
                    <a:prstGeom prst="rect">
                      <a:avLst/>
                    </a:prstGeom>
                    <a:noFill/>
                    <a:ln w="9525">
                      <a:noFill/>
                    </a:ln>
                  </pic:spPr>
                </pic:pic>
              </a:graphicData>
            </a:graphic>
          </wp:inline>
        </w:drawing>
      </w:r>
    </w:p>
    <w:p>
      <w:pPr>
        <w:pStyle w:val="4"/>
        <w:bidi w:val="0"/>
        <w:outlineLvl w:val="1"/>
        <w:rPr>
          <w:rFonts w:hint="eastAsia" w:ascii="黑体" w:hAnsi="黑体" w:eastAsia="黑体" w:cs="黑体"/>
          <w:b w:val="0"/>
          <w:bCs/>
          <w:lang w:val="en-US" w:eastAsia="zh-CN"/>
        </w:rPr>
      </w:pPr>
      <w:bookmarkStart w:id="14" w:name="_Toc10438"/>
      <w:r>
        <w:rPr>
          <w:rFonts w:hint="eastAsia" w:ascii="黑体" w:hAnsi="黑体" w:eastAsia="黑体" w:cs="黑体"/>
          <w:b w:val="0"/>
          <w:bCs/>
          <w:lang w:val="en-US" w:eastAsia="zh-CN"/>
        </w:rPr>
        <w:t>2.3解密</w:t>
      </w:r>
      <w:bookmarkEnd w:id="14"/>
    </w:p>
    <w:p>
      <w:pPr>
        <w:spacing w:line="360" w:lineRule="auto"/>
        <w:rPr>
          <w:rFonts w:hint="eastAsia" w:ascii="仿宋_GB2312" w:hAnsi="仿宋_GB2312" w:eastAsia="仿宋_GB2312" w:cs="仿宋_GB2312"/>
          <w:b/>
          <w:bCs/>
          <w:color w:val="C00000"/>
          <w:sz w:val="32"/>
          <w:szCs w:val="32"/>
          <w:lang w:val="en-US" w:eastAsia="zh-CN"/>
        </w:rPr>
      </w:pPr>
      <w:r>
        <w:rPr>
          <w:rFonts w:hint="eastAsia" w:ascii="仿宋_GB2312" w:hAnsi="仿宋_GB2312" w:eastAsia="仿宋_GB2312" w:cs="仿宋_GB2312"/>
          <w:b/>
          <w:bCs/>
          <w:color w:val="C00000"/>
          <w:sz w:val="32"/>
          <w:szCs w:val="32"/>
          <w:lang w:val="en-US" w:eastAsia="zh-CN"/>
        </w:rPr>
        <w:t>温馨提示：</w:t>
      </w:r>
    </w:p>
    <w:p>
      <w:pPr>
        <w:spacing w:line="36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C00000"/>
          <w:sz w:val="32"/>
          <w:szCs w:val="32"/>
          <w:lang w:val="en-US" w:eastAsia="zh-CN"/>
        </w:rPr>
        <w:t>在规定时间内未报价，在规定时间内未解密，则视为自动放弃入围资格</w:t>
      </w:r>
      <w:r>
        <w:rPr>
          <w:rFonts w:hint="eastAsia" w:ascii="仿宋_GB2312" w:hAnsi="仿宋_GB2312" w:eastAsia="仿宋_GB2312" w:cs="仿宋_GB2312"/>
          <w:b/>
          <w:bCs/>
          <w:sz w:val="32"/>
          <w:szCs w:val="32"/>
          <w:lang w:val="en-US" w:eastAsia="zh-CN"/>
        </w:rPr>
        <w:t>。</w:t>
      </w:r>
    </w:p>
    <w:p>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到解密时间时，点击列表右上方【解密】按钮出现输入报价解密密码弹窗，输入密码后产品报价解密，如下图</w:t>
      </w:r>
    </w:p>
    <w:p>
      <w:pPr>
        <w:pStyle w:val="4"/>
        <w:bidi w:val="0"/>
        <w:outlineLvl w:val="9"/>
        <w:rPr>
          <w:rFonts w:ascii="宋体" w:hAnsi="宋体" w:eastAsia="宋体" w:cs="宋体"/>
          <w:sz w:val="24"/>
          <w:szCs w:val="24"/>
        </w:rPr>
      </w:pPr>
      <w:r>
        <w:rPr>
          <w:rFonts w:ascii="宋体" w:hAnsi="宋体" w:eastAsia="宋体" w:cs="宋体"/>
          <w:sz w:val="24"/>
          <w:szCs w:val="24"/>
        </w:rPr>
        <w:drawing>
          <wp:inline distT="0" distB="0" distL="114300" distR="114300">
            <wp:extent cx="5313045" cy="2146935"/>
            <wp:effectExtent l="0" t="0" r="1905" b="5715"/>
            <wp:docPr id="6"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true"/>
                    </pic:cNvPicPr>
                  </pic:nvPicPr>
                  <pic:blipFill>
                    <a:blip r:embed="rId17"/>
                    <a:stretch>
                      <a:fillRect/>
                    </a:stretch>
                  </pic:blipFill>
                  <pic:spPr>
                    <a:xfrm>
                      <a:off x="0" y="0"/>
                      <a:ext cx="5313045" cy="2146935"/>
                    </a:xfrm>
                    <a:prstGeom prst="rect">
                      <a:avLst/>
                    </a:prstGeom>
                    <a:noFill/>
                    <a:ln w="9525">
                      <a:noFill/>
                    </a:ln>
                  </pic:spPr>
                </pic:pic>
              </a:graphicData>
            </a:graphic>
          </wp:inline>
        </w:drawing>
      </w:r>
    </w:p>
    <w:p>
      <w:pPr>
        <w:rPr>
          <w:rFonts w:ascii="宋体" w:hAnsi="宋体" w:eastAsia="宋体" w:cs="宋体"/>
          <w:sz w:val="24"/>
          <w:szCs w:val="24"/>
        </w:rPr>
      </w:pPr>
      <w:r>
        <w:rPr>
          <w:rFonts w:ascii="宋体" w:hAnsi="宋体" w:eastAsia="宋体" w:cs="宋体"/>
          <w:sz w:val="24"/>
          <w:szCs w:val="24"/>
        </w:rPr>
        <w:drawing>
          <wp:inline distT="0" distB="0" distL="114300" distR="114300">
            <wp:extent cx="5320030" cy="2033905"/>
            <wp:effectExtent l="0" t="0" r="4445" b="4445"/>
            <wp:docPr id="7" name="图片 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true"/>
                    </pic:cNvPicPr>
                  </pic:nvPicPr>
                  <pic:blipFill>
                    <a:blip r:embed="rId18"/>
                    <a:stretch>
                      <a:fillRect/>
                    </a:stretch>
                  </pic:blipFill>
                  <pic:spPr>
                    <a:xfrm>
                      <a:off x="0" y="0"/>
                      <a:ext cx="5320030" cy="2033905"/>
                    </a:xfrm>
                    <a:prstGeom prst="rect">
                      <a:avLst/>
                    </a:prstGeom>
                    <a:noFill/>
                    <a:ln w="9525">
                      <a:noFill/>
                    </a:ln>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解密完成，如下图</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264785" cy="2174240"/>
            <wp:effectExtent l="0" t="0" r="2540" b="6985"/>
            <wp:docPr id="8" name="图片 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true"/>
                    </pic:cNvPicPr>
                  </pic:nvPicPr>
                  <pic:blipFill>
                    <a:blip r:embed="rId19"/>
                    <a:stretch>
                      <a:fillRect/>
                    </a:stretch>
                  </pic:blipFill>
                  <pic:spPr>
                    <a:xfrm>
                      <a:off x="0" y="0"/>
                      <a:ext cx="5264785" cy="2174240"/>
                    </a:xfrm>
                    <a:prstGeom prst="rect">
                      <a:avLst/>
                    </a:prstGeom>
                    <a:noFill/>
                    <a:ln w="9525">
                      <a:noFill/>
                    </a:ln>
                  </pic:spPr>
                </pic:pic>
              </a:graphicData>
            </a:graphic>
          </wp:inline>
        </w:drawing>
      </w:r>
    </w:p>
    <w:p>
      <w:pPr>
        <w:rPr>
          <w:rFonts w:hint="default" w:ascii="宋体" w:hAnsi="宋体" w:eastAsia="宋体" w:cs="宋体"/>
          <w:sz w:val="24"/>
          <w:szCs w:val="24"/>
          <w:lang w:val="en-US" w:eastAsia="zh-CN"/>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Calibri Light">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BYAAABkcnMvUEsBAhQAFAAA&#10;AAgAh07iQLNJWO7QAAAABQEAAA8AAAAAAAAAAQAgAAAAOAAAAGRycy9kb3ducmV2LnhtbFBLAQIU&#10;ABQAAAAIAIdO4kAHFBrmyQIAAOwFAAAOAAAAAAAAAAEAIAAAADUBAABkcnMvZTJvRG9jLnhtbFBL&#10;BQYAAAAABgAGAFkBAABwBg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QKKh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0CioRwCAAArBAAADgAAAAAAAAABACAAAAA1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DF4883"/>
    <w:multiLevelType w:val="singleLevel"/>
    <w:tmpl w:val="E9DF4883"/>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34296A84"/>
    <w:rsid w:val="17B0376D"/>
    <w:rsid w:val="34296A84"/>
    <w:rsid w:val="3B183024"/>
    <w:rsid w:val="658F0EF9"/>
    <w:rsid w:val="6FBF4B35"/>
    <w:rsid w:val="79FF3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caption"/>
    <w:basedOn w:val="1"/>
    <w:next w:val="1"/>
    <w:unhideWhenUsed/>
    <w:qFormat/>
    <w:uiPriority w:val="0"/>
    <w:rPr>
      <w:rFonts w:ascii="Arial" w:hAnsi="Arial" w:eastAsia="黑体"/>
      <w:sz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Hyperlink"/>
    <w:basedOn w:val="9"/>
    <w:qFormat/>
    <w:uiPriority w:val="0"/>
    <w:rPr>
      <w:color w:val="0000FF"/>
      <w:u w:val="single"/>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9</TotalTime>
  <ScaleCrop>false</ScaleCrop>
  <LinksUpToDate>false</LinksUpToDate>
  <CharactersWithSpaces>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2024-06-11T19:28:00Z</dcterms:created>
  <dc:creator>%E6%98%95%E9%A3%8E</dc:creator>
  <cp:lastModifiedBy>gs12345</cp:lastModifiedBy>
  <dcterms:modified xsi:type="dcterms:W3CDTF">2024-06-12T08:59:48Z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D3BF5A1A7CDD415B8D272488FB92297B_11</vt:lpwstr>
  </property>
</Properties>
</file>