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right"/>
        <w:rPr>
          <w:rFonts w:hint="eastAsia" w:ascii="宋体" w:hAnsi="宋体"/>
          <w:color w:val="000000" w:themeColor="text1"/>
          <w:szCs w:val="21"/>
          <w14:textFill>
            <w14:solidFill>
              <w14:schemeClr w14:val="tx1"/>
            </w14:solidFill>
          </w14:textFill>
        </w:rPr>
      </w:pPr>
    </w:p>
    <w:p>
      <w:pPr>
        <w:jc w:val="center"/>
        <w:rPr>
          <w:rFonts w:hint="eastAsia" w:ascii="宋体" w:hAnsi="宋体"/>
          <w:b/>
          <w:bCs/>
          <w:color w:val="000000" w:themeColor="text1"/>
          <w:szCs w:val="21"/>
          <w14:textFill>
            <w14:solidFill>
              <w14:schemeClr w14:val="tx1"/>
            </w14:solidFill>
          </w14:textFill>
        </w:rPr>
      </w:pPr>
    </w:p>
    <w:p>
      <w:pPr>
        <w:spacing w:before="312" w:beforeLines="100" w:after="312" w:afterLines="100"/>
        <w:jc w:val="center"/>
        <w:rPr>
          <w:rFonts w:hint="eastAsia"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江西省医疗保障</w:t>
      </w:r>
      <w:r>
        <w:rPr>
          <w:rFonts w:hint="eastAsia" w:ascii="宋体" w:hAnsi="宋体"/>
          <w:b/>
          <w:color w:val="000000" w:themeColor="text1"/>
          <w:sz w:val="48"/>
          <w:szCs w:val="48"/>
          <w:lang w:eastAsia="zh-Hans"/>
          <w14:textFill>
            <w14:solidFill>
              <w14:schemeClr w14:val="tx1"/>
            </w14:solidFill>
          </w14:textFill>
        </w:rPr>
        <w:t>局</w:t>
      </w:r>
    </w:p>
    <w:p>
      <w:pPr>
        <w:spacing w:before="312" w:beforeLines="100" w:after="312" w:afterLines="100"/>
        <w:jc w:val="center"/>
        <w:rPr>
          <w:rFonts w:hint="eastAsia"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耗材和医用耗材招采管理子系统</w:t>
      </w:r>
    </w:p>
    <w:p>
      <w:pPr>
        <w:pStyle w:val="2"/>
        <w:rPr>
          <w:rFonts w:hint="eastAsia"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hint="eastAsia" w:ascii="宋体" w:hAnsi="宋体"/>
          <w:color w:val="000000" w:themeColor="text1"/>
          <w14:textFill>
            <w14:solidFill>
              <w14:schemeClr w14:val="tx1"/>
            </w14:solidFill>
          </w14:textFill>
        </w:rPr>
      </w:pPr>
    </w:p>
    <w:p>
      <w:pPr>
        <w:spacing w:before="312" w:beforeLines="100" w:after="312" w:afterLines="100"/>
        <w:jc w:val="center"/>
        <w:rPr>
          <w:rFonts w:ascii="宋体" w:hAnsi="宋体"/>
          <w:bCs/>
          <w:color w:val="000000" w:themeColor="text1"/>
          <w:sz w:val="44"/>
          <w:szCs w:val="4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氯化钠等注射液市级联盟集中带量采购</w:t>
      </w:r>
    </w:p>
    <w:p>
      <w:pPr>
        <w:spacing w:before="312" w:beforeLines="100" w:after="312" w:afterLines="100"/>
        <w:jc w:val="center"/>
        <w:rPr>
          <w:rFonts w:hint="eastAsia" w:ascii="宋体" w:hAnsi="宋体"/>
          <w:bCs/>
          <w:color w:val="000000" w:themeColor="text1"/>
          <w:sz w:val="44"/>
          <w:szCs w:val="4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企业报价解密操作手册</w:t>
      </w: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ascii="宋体" w:hAnsi="宋体"/>
        </w:rPr>
      </w:pPr>
    </w:p>
    <w:p>
      <w:pPr>
        <w:pStyle w:val="2"/>
        <w:rPr>
          <w:rFonts w:hint="eastAsia" w:ascii="宋体" w:hAnsi="宋体"/>
        </w:rPr>
      </w:pPr>
    </w:p>
    <w:p>
      <w:pPr>
        <w:pStyle w:val="2"/>
        <w:rPr>
          <w:rFonts w:hint="eastAsia" w:ascii="宋体" w:hAnsi="宋体"/>
        </w:rPr>
      </w:pPr>
    </w:p>
    <w:p>
      <w:pPr>
        <w:pStyle w:val="2"/>
        <w:rPr>
          <w:rFonts w:ascii="宋体" w:hAnsi="宋体"/>
        </w:rPr>
      </w:pPr>
    </w:p>
    <w:p>
      <w:pPr>
        <w:pStyle w:val="2"/>
        <w:rPr>
          <w:rFonts w:ascii="宋体" w:hAnsi="宋体"/>
        </w:rPr>
      </w:pPr>
    </w:p>
    <w:p>
      <w:pPr>
        <w:pStyle w:val="2"/>
        <w:rPr>
          <w:rFonts w:hint="eastAsia" w:ascii="宋体" w:hAnsi="宋体"/>
        </w:rPr>
      </w:pPr>
    </w:p>
    <w:p>
      <w:pPr>
        <w:jc w:val="center"/>
        <w:rPr>
          <w:rFonts w:hint="eastAsia" w:ascii="宋体" w:hAnsi="宋体"/>
          <w:sz w:val="32"/>
          <w:szCs w:val="32"/>
        </w:rPr>
      </w:pPr>
      <w:r>
        <w:rPr>
          <w:rFonts w:hint="eastAsia" w:ascii="宋体" w:hAnsi="宋体"/>
          <w:sz w:val="32"/>
          <w:szCs w:val="32"/>
        </w:rPr>
        <w:t>江西省医药价格和采购服务中心</w:t>
      </w:r>
    </w:p>
    <w:p>
      <w:pPr>
        <w:jc w:val="center"/>
        <w:rPr>
          <w:rFonts w:hint="eastAsia"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2024</w:t>
      </w:r>
      <w:r>
        <w:rPr>
          <w:rFonts w:hint="eastAsia" w:ascii="宋体" w:hAnsi="宋体"/>
          <w:color w:val="000000" w:themeColor="text1"/>
          <w:sz w:val="28"/>
          <w:szCs w:val="28"/>
          <w14:textFill>
            <w14:solidFill>
              <w14:schemeClr w14:val="tx1"/>
            </w14:solidFill>
          </w14:textFill>
        </w:rPr>
        <w:t>年10月</w:t>
      </w:r>
    </w:p>
    <w:p>
      <w:pPr>
        <w:rPr>
          <w:rFonts w:hint="eastAsia" w:ascii="宋体" w:hAnsi="宋体" w:cs="宋体"/>
          <w:b/>
          <w:bCs/>
          <w:color w:val="000000" w:themeColor="text1"/>
          <w:sz w:val="32"/>
          <w:szCs w:val="24"/>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jc w:val="center"/>
        <w:rPr>
          <w:rFonts w:hint="eastAsia" w:ascii="宋体" w:hAnsi="宋体"/>
          <w:b/>
          <w:bCs/>
          <w:sz w:val="52"/>
          <w:szCs w:val="52"/>
        </w:rPr>
      </w:pPr>
      <w:bookmarkStart w:id="0" w:name="_Toc157152205"/>
      <w:bookmarkStart w:id="1" w:name="_Toc17074"/>
      <w:r>
        <w:rPr>
          <w:rFonts w:hint="eastAsia" w:ascii="宋体" w:hAnsi="宋体"/>
          <w:b/>
          <w:bCs/>
          <w:sz w:val="52"/>
          <w:szCs w:val="52"/>
        </w:rPr>
        <w:t>目 录</w:t>
      </w:r>
      <w:bookmarkEnd w:id="0"/>
      <w:bookmarkEnd w:id="1"/>
    </w:p>
    <w:p>
      <w:pPr>
        <w:pStyle w:val="2"/>
        <w:rPr>
          <w:rFonts w:ascii="宋体" w:hAnsi="宋体"/>
        </w:rPr>
      </w:pPr>
    </w:p>
    <w:p>
      <w:pPr>
        <w:pStyle w:val="20"/>
        <w:tabs>
          <w:tab w:val="right" w:leader="dot" w:pos="8296"/>
        </w:tabs>
        <w:spacing w:line="360" w:lineRule="auto"/>
        <w:rPr>
          <w:rFonts w:hint="eastAsia" w:asciiTheme="minorHAnsi" w:hAnsiTheme="minorHAnsi" w:eastAsiaTheme="minorEastAsia" w:cstheme="minorBidi"/>
          <w:szCs w:val="22"/>
          <w14:ligatures w14:val="standardContextual"/>
        </w:rPr>
      </w:pPr>
      <w:r>
        <w:rPr>
          <w:rFonts w:hint="eastAsia" w:ascii="宋体" w:hAnsi="宋体" w:cs="宋体"/>
          <w:color w:val="000000" w:themeColor="text1"/>
          <w:sz w:val="24"/>
          <w:szCs w:val="24"/>
          <w14:textFill>
            <w14:solidFill>
              <w14:schemeClr w14:val="tx1"/>
            </w14:solidFill>
          </w14:textFill>
        </w:rPr>
        <w:fldChar w:fldCharType="begin"/>
      </w:r>
      <w:r>
        <w:rPr>
          <w:rFonts w:hint="eastAsia" w:ascii="宋体" w:hAnsi="宋体" w:cs="宋体"/>
          <w:color w:val="000000" w:themeColor="text1"/>
          <w:sz w:val="24"/>
          <w:szCs w:val="24"/>
          <w14:textFill>
            <w14:solidFill>
              <w14:schemeClr w14:val="tx1"/>
            </w14:solidFill>
          </w14:textFill>
        </w:rPr>
        <w:instrText xml:space="preserve">TOC \o "1-3" \h \u </w:instrText>
      </w:r>
      <w:r>
        <w:rPr>
          <w:rFonts w:hint="eastAsia" w:ascii="宋体" w:hAnsi="宋体" w:cs="宋体"/>
          <w:color w:val="000000" w:themeColor="text1"/>
          <w:sz w:val="24"/>
          <w:szCs w:val="24"/>
          <w14:textFill>
            <w14:solidFill>
              <w14:schemeClr w14:val="tx1"/>
            </w14:solidFill>
          </w14:textFill>
        </w:rPr>
        <w:fldChar w:fldCharType="separate"/>
      </w:r>
      <w:r>
        <w:fldChar w:fldCharType="begin"/>
      </w:r>
      <w:r>
        <w:instrText xml:space="preserve"> HYPERLINK \l "_Toc180274517" </w:instrText>
      </w:r>
      <w:r>
        <w:fldChar w:fldCharType="separate"/>
      </w:r>
      <w:r>
        <w:rPr>
          <w:rStyle w:val="24"/>
          <w:rFonts w:hint="eastAsia" w:ascii="宋体" w:hAnsi="宋体" w:cs="宋体"/>
        </w:rPr>
        <w:t>一、 系统介绍</w:t>
      </w:r>
      <w:r>
        <w:rPr>
          <w:rFonts w:hint="eastAsia"/>
        </w:rPr>
        <w:tab/>
      </w:r>
      <w:r>
        <w:rPr>
          <w:rFonts w:hint="eastAsia"/>
        </w:rPr>
        <w:fldChar w:fldCharType="begin"/>
      </w:r>
      <w:r>
        <w:rPr>
          <w:rFonts w:hint="eastAsia"/>
        </w:rPr>
        <w:instrText xml:space="preserve"> </w:instrText>
      </w:r>
      <w:r>
        <w:instrText xml:space="preserve">PAGEREF _Toc180274517 \h</w:instrText>
      </w:r>
      <w:r>
        <w:rPr>
          <w:rFonts w:hint="eastAsia"/>
        </w:rPr>
        <w:instrText xml:space="preserve"> </w:instrText>
      </w:r>
      <w:r>
        <w:fldChar w:fldCharType="separate"/>
      </w:r>
      <w:r>
        <w:t>1</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"_Toc180274518" </w:instrText>
      </w:r>
      <w:r>
        <w:fldChar w:fldCharType="separate"/>
      </w:r>
      <w:r>
        <w:rPr>
          <w:rStyle w:val="24"/>
          <w:rFonts w:hint="eastAsia" w:ascii="宋体" w:hAnsi="宋体"/>
        </w:rPr>
        <w:t>（一）系统概述</w:t>
      </w:r>
      <w:r>
        <w:rPr>
          <w:rFonts w:hint="eastAsia"/>
        </w:rPr>
        <w:tab/>
      </w:r>
      <w:r>
        <w:rPr>
          <w:rFonts w:hint="eastAsia"/>
        </w:rPr>
        <w:fldChar w:fldCharType="begin"/>
      </w:r>
      <w:r>
        <w:rPr>
          <w:rFonts w:hint="eastAsia"/>
        </w:rPr>
        <w:instrText xml:space="preserve"> </w:instrText>
      </w:r>
      <w:r>
        <w:instrText xml:space="preserve">PAGEREF _Toc180274518 \h</w:instrText>
      </w:r>
      <w:r>
        <w:rPr>
          <w:rFonts w:hint="eastAsia"/>
        </w:rPr>
        <w:instrText xml:space="preserve"> </w:instrText>
      </w:r>
      <w:r>
        <w:fldChar w:fldCharType="separate"/>
      </w:r>
      <w:r>
        <w:t>1</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"_Toc180274519" </w:instrText>
      </w:r>
      <w:r>
        <w:fldChar w:fldCharType="separate"/>
      </w:r>
      <w:r>
        <w:rPr>
          <w:rStyle w:val="24"/>
          <w:rFonts w:hint="eastAsia" w:ascii="宋体" w:hAnsi="宋体"/>
        </w:rPr>
        <w:t>（二）功能预览</w:t>
      </w:r>
      <w:r>
        <w:rPr>
          <w:rFonts w:hint="eastAsia"/>
        </w:rPr>
        <w:tab/>
      </w:r>
      <w:r>
        <w:rPr>
          <w:rFonts w:hint="eastAsia"/>
        </w:rPr>
        <w:fldChar w:fldCharType="begin"/>
      </w:r>
      <w:r>
        <w:rPr>
          <w:rFonts w:hint="eastAsia"/>
        </w:rPr>
        <w:instrText xml:space="preserve"> </w:instrText>
      </w:r>
      <w:r>
        <w:instrText xml:space="preserve">PAGEREF _Toc180274519 \h</w:instrText>
      </w:r>
      <w:r>
        <w:rPr>
          <w:rFonts w:hint="eastAsia"/>
        </w:rPr>
        <w:instrText xml:space="preserve"> </w:instrText>
      </w:r>
      <w:r>
        <w:fldChar w:fldCharType="separate"/>
      </w:r>
      <w:r>
        <w:t>1</w:t>
      </w:r>
      <w:r>
        <w:rPr>
          <w:rFonts w:hint="eastAsia"/>
        </w:rPr>
        <w:fldChar w:fldCharType="end"/>
      </w:r>
      <w:r>
        <w:rPr>
          <w:rFonts w:hint="eastAsia"/>
        </w:rPr>
        <w:fldChar w:fldCharType="end"/>
      </w:r>
    </w:p>
    <w:p>
      <w:pPr>
        <w:pStyle w:val="20"/>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"_Toc180274520" </w:instrText>
      </w:r>
      <w:r>
        <w:fldChar w:fldCharType="separate"/>
      </w:r>
      <w:r>
        <w:rPr>
          <w:rStyle w:val="24"/>
          <w:rFonts w:hint="eastAsia" w:ascii="宋体" w:hAnsi="宋体" w:cs="宋体"/>
        </w:rPr>
        <w:t>二、 公共服务登录</w:t>
      </w:r>
      <w:r>
        <w:rPr>
          <w:rFonts w:hint="eastAsia"/>
        </w:rPr>
        <w:tab/>
      </w:r>
      <w:r>
        <w:rPr>
          <w:rFonts w:hint="eastAsia"/>
        </w:rPr>
        <w:fldChar w:fldCharType="begin"/>
      </w:r>
      <w:r>
        <w:rPr>
          <w:rFonts w:hint="eastAsia"/>
        </w:rPr>
        <w:instrText xml:space="preserve"> </w:instrText>
      </w:r>
      <w:r>
        <w:instrText xml:space="preserve">PAGEREF _Toc180274520 \h</w:instrText>
      </w:r>
      <w:r>
        <w:rPr>
          <w:rFonts w:hint="eastAsia"/>
        </w:rPr>
        <w:instrText xml:space="preserve"> </w:instrText>
      </w:r>
      <w:r>
        <w:fldChar w:fldCharType="separate"/>
      </w:r>
      <w:r>
        <w:t>2</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"_Toc180274521" </w:instrText>
      </w:r>
      <w:r>
        <w:fldChar w:fldCharType="separate"/>
      </w:r>
      <w:r>
        <w:rPr>
          <w:rStyle w:val="24"/>
          <w:rFonts w:hint="eastAsia" w:ascii="宋体" w:hAnsi="宋体"/>
        </w:rPr>
        <w:t>（一）登录系统</w:t>
      </w:r>
      <w:r>
        <w:rPr>
          <w:rFonts w:hint="eastAsia"/>
        </w:rPr>
        <w:tab/>
      </w:r>
      <w:r>
        <w:rPr>
          <w:rFonts w:hint="eastAsia"/>
        </w:rPr>
        <w:fldChar w:fldCharType="begin"/>
      </w:r>
      <w:r>
        <w:rPr>
          <w:rFonts w:hint="eastAsia"/>
        </w:rPr>
        <w:instrText xml:space="preserve"> </w:instrText>
      </w:r>
      <w:r>
        <w:instrText xml:space="preserve">PAGEREF _Toc180274521 \h</w:instrText>
      </w:r>
      <w:r>
        <w:rPr>
          <w:rFonts w:hint="eastAsia"/>
        </w:rPr>
        <w:instrText xml:space="preserve"> </w:instrText>
      </w:r>
      <w:r>
        <w:fldChar w:fldCharType="separate"/>
      </w:r>
      <w:r>
        <w:t>2</w:t>
      </w:r>
      <w:r>
        <w:rPr>
          <w:rFonts w:hint="eastAsia"/>
        </w:rPr>
        <w:fldChar w:fldCharType="end"/>
      </w:r>
      <w:r>
        <w:rPr>
          <w:rFonts w:hint="eastAsia"/>
        </w:rPr>
        <w:fldChar w:fldCharType="end"/>
      </w:r>
    </w:p>
    <w:p>
      <w:pPr>
        <w:pStyle w:val="20"/>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"_Toc180274522" </w:instrText>
      </w:r>
      <w:r>
        <w:fldChar w:fldCharType="separate"/>
      </w:r>
      <w:r>
        <w:rPr>
          <w:rStyle w:val="24"/>
          <w:rFonts w:hint="eastAsia" w:ascii="宋体" w:hAnsi="宋体" w:cs="宋体"/>
        </w:rPr>
        <w:t>三、 氯化钠企业报价加解密</w:t>
      </w:r>
      <w:r>
        <w:rPr>
          <w:rFonts w:hint="eastAsia"/>
        </w:rPr>
        <w:tab/>
      </w:r>
      <w:r>
        <w:rPr>
          <w:rFonts w:hint="eastAsia"/>
        </w:rPr>
        <w:fldChar w:fldCharType="begin"/>
      </w:r>
      <w:r>
        <w:rPr>
          <w:rFonts w:hint="eastAsia"/>
        </w:rPr>
        <w:instrText xml:space="preserve"> </w:instrText>
      </w:r>
      <w:r>
        <w:instrText xml:space="preserve">PAGEREF _Toc180274522 \h</w:instrText>
      </w:r>
      <w:r>
        <w:rPr>
          <w:rFonts w:hint="eastAsia"/>
        </w:rPr>
        <w:instrText xml:space="preserve"> </w:instrText>
      </w:r>
      <w:r>
        <w:fldChar w:fldCharType="separate"/>
      </w:r>
      <w:r>
        <w:t>4</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"_Toc180274523" </w:instrText>
      </w:r>
      <w:r>
        <w:fldChar w:fldCharType="separate"/>
      </w:r>
      <w:r>
        <w:rPr>
          <w:rStyle w:val="24"/>
          <w:rFonts w:hint="eastAsia" w:ascii="宋体" w:hAnsi="宋体"/>
        </w:rPr>
        <w:t>（一）CA绑定</w:t>
      </w:r>
      <w:r>
        <w:rPr>
          <w:rFonts w:hint="eastAsia"/>
        </w:rPr>
        <w:tab/>
      </w:r>
      <w:r>
        <w:rPr>
          <w:rFonts w:hint="eastAsia"/>
        </w:rPr>
        <w:fldChar w:fldCharType="begin"/>
      </w:r>
      <w:r>
        <w:rPr>
          <w:rFonts w:hint="eastAsia"/>
        </w:rPr>
        <w:instrText xml:space="preserve"> </w:instrText>
      </w:r>
      <w:r>
        <w:instrText xml:space="preserve">PAGEREF _Toc180274523 \h</w:instrText>
      </w:r>
      <w:r>
        <w:rPr>
          <w:rFonts w:hint="eastAsia"/>
        </w:rPr>
        <w:instrText xml:space="preserve"> </w:instrText>
      </w:r>
      <w:r>
        <w:fldChar w:fldCharType="separate"/>
      </w:r>
      <w:r>
        <w:t>4</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"_Toc180274524" </w:instrText>
      </w:r>
      <w:r>
        <w:fldChar w:fldCharType="separate"/>
      </w:r>
      <w:r>
        <w:rPr>
          <w:rStyle w:val="24"/>
          <w:rFonts w:hint="eastAsia" w:ascii="宋体" w:hAnsi="宋体"/>
        </w:rPr>
        <w:t>（二）报价加密</w:t>
      </w:r>
      <w:r>
        <w:rPr>
          <w:rFonts w:hint="eastAsia"/>
        </w:rPr>
        <w:tab/>
      </w:r>
      <w:r>
        <w:rPr>
          <w:rFonts w:hint="eastAsia"/>
        </w:rPr>
        <w:fldChar w:fldCharType="begin"/>
      </w:r>
      <w:r>
        <w:rPr>
          <w:rFonts w:hint="eastAsia"/>
        </w:rPr>
        <w:instrText xml:space="preserve"> </w:instrText>
      </w:r>
      <w:r>
        <w:instrText xml:space="preserve">PAGEREF _Toc180274524 \h</w:instrText>
      </w:r>
      <w:r>
        <w:rPr>
          <w:rFonts w:hint="eastAsia"/>
        </w:rPr>
        <w:instrText xml:space="preserve"> </w:instrText>
      </w:r>
      <w:r>
        <w:fldChar w:fldCharType="separate"/>
      </w:r>
      <w:r>
        <w:t>5</w:t>
      </w:r>
      <w:r>
        <w:rPr>
          <w:rFonts w:hint="eastAsia"/>
        </w:rPr>
        <w:fldChar w:fldCharType="end"/>
      </w:r>
      <w:r>
        <w:rPr>
          <w:rFonts w:hint="eastAsia"/>
        </w:rPr>
        <w:fldChar w:fldCharType="end"/>
      </w:r>
    </w:p>
    <w:p>
      <w:pPr>
        <w:pStyle w:val="15"/>
        <w:tabs>
          <w:tab w:val="right" w:leader="dot" w:pos="8296"/>
        </w:tabs>
        <w:spacing w:line="360" w:lineRule="auto"/>
        <w:rPr>
          <w:rFonts w:hint="eastAsia" w:asciiTheme="minorHAnsi" w:hAnsiTheme="minorHAnsi" w:eastAsiaTheme="minorEastAsia" w:cstheme="minorBidi"/>
          <w:szCs w:val="22"/>
          <w14:ligatures w14:val="standardContextual"/>
        </w:rPr>
      </w:pPr>
      <w:r>
        <w:fldChar w:fldCharType="begin"/>
      </w:r>
      <w:r>
        <w:instrText xml:space="preserve"> HYPERLINK \l "_Toc180274525" </w:instrText>
      </w:r>
      <w:r>
        <w:fldChar w:fldCharType="separate"/>
      </w:r>
      <w:r>
        <w:rPr>
          <w:rStyle w:val="24"/>
          <w:rFonts w:hint="eastAsia" w:ascii="宋体" w:hAnsi="宋体"/>
        </w:rPr>
        <w:t>（三）报价解密</w:t>
      </w:r>
      <w:r>
        <w:rPr>
          <w:rFonts w:hint="eastAsia"/>
        </w:rPr>
        <w:tab/>
      </w:r>
      <w:r>
        <w:rPr>
          <w:rFonts w:hint="eastAsia"/>
        </w:rPr>
        <w:fldChar w:fldCharType="begin"/>
      </w:r>
      <w:r>
        <w:rPr>
          <w:rFonts w:hint="eastAsia"/>
        </w:rPr>
        <w:instrText xml:space="preserve"> </w:instrText>
      </w:r>
      <w:r>
        <w:instrText xml:space="preserve">PAGEREF _Toc180274525 \h</w:instrText>
      </w:r>
      <w:r>
        <w:rPr>
          <w:rFonts w:hint="eastAsia"/>
        </w:rPr>
        <w:instrText xml:space="preserve"> </w:instrText>
      </w:r>
      <w:r>
        <w:fldChar w:fldCharType="separate"/>
      </w:r>
      <w:r>
        <w:t>7</w:t>
      </w:r>
      <w:r>
        <w:rPr>
          <w:rFonts w:hint="eastAsia"/>
        </w:rPr>
        <w:fldChar w:fldCharType="end"/>
      </w:r>
      <w:r>
        <w:rPr>
          <w:rFonts w:hint="eastAsia"/>
        </w:rPr>
        <w:fldChar w:fldCharType="end"/>
      </w:r>
    </w:p>
    <w:p>
      <w:pPr>
        <w:spacing w:before="156" w:beforeLines="50" w:after="156" w:afterLines="50" w:line="360" w:lineRule="auto"/>
        <w:jc w:val="left"/>
        <w:rPr>
          <w:rFonts w:hint="eastAsia" w:ascii="宋体" w:hAnsi="宋体" w:cs="宋体"/>
          <w:color w:val="000000" w:themeColor="text1"/>
          <w:sz w:val="24"/>
          <w:szCs w:val="24"/>
          <w14:textFill>
            <w14:solidFill>
              <w14:schemeClr w14:val="tx1"/>
            </w14:solidFill>
          </w14:textFill>
        </w:rPr>
        <w:sectPr>
          <w:footerReference r:id="rId3" w:type="default"/>
          <w:pgSz w:w="11906" w:h="16838"/>
          <w:pgMar w:top="1440" w:right="1800" w:bottom="1440" w:left="1800" w:header="851" w:footer="992" w:gutter="0"/>
          <w:cols w:space="720" w:num="1"/>
          <w:docGrid w:type="lines" w:linePitch="312" w:charSpace="0"/>
        </w:sectPr>
      </w:pP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ab/>
      </w:r>
    </w:p>
    <w:p>
      <w:pPr>
        <w:pStyle w:val="5"/>
        <w:numPr>
          <w:ilvl w:val="0"/>
          <w:numId w:val="1"/>
        </w:numPr>
        <w:ind w:left="-400" w:firstLine="0"/>
        <w:rPr>
          <w:rFonts w:hint="eastAsia" w:ascii="宋体" w:hAnsi="宋体" w:cs="宋体"/>
          <w:color w:val="000000" w:themeColor="text1"/>
          <w14:textFill>
            <w14:solidFill>
              <w14:schemeClr w14:val="tx1"/>
            </w14:solidFill>
          </w14:textFill>
        </w:rPr>
      </w:pPr>
      <w:bookmarkStart w:id="2" w:name="_Toc180274517"/>
      <w:r>
        <w:rPr>
          <w:rFonts w:hint="eastAsia" w:ascii="宋体" w:hAnsi="宋体" w:cs="宋体"/>
          <w:color w:val="000000" w:themeColor="text1"/>
          <w14:textFill>
            <w14:solidFill>
              <w14:schemeClr w14:val="tx1"/>
            </w14:solidFill>
          </w14:textFill>
        </w:rPr>
        <w:t>系统介绍</w:t>
      </w:r>
      <w:bookmarkEnd w:id="2"/>
      <w:bookmarkStart w:id="3" w:name="_Toc38787054"/>
      <w:bookmarkEnd w:id="3"/>
      <w:bookmarkStart w:id="4" w:name="_Toc38787043"/>
      <w:bookmarkEnd w:id="4"/>
      <w:bookmarkStart w:id="5" w:name="_Toc38787010"/>
      <w:bookmarkEnd w:id="5"/>
      <w:bookmarkStart w:id="6" w:name="_Toc38787055"/>
      <w:bookmarkEnd w:id="6"/>
      <w:bookmarkStart w:id="7" w:name="_Toc38787053"/>
      <w:bookmarkEnd w:id="7"/>
      <w:bookmarkStart w:id="8" w:name="_Toc38787039"/>
      <w:bookmarkEnd w:id="8"/>
      <w:bookmarkStart w:id="9" w:name="_Toc38787005"/>
      <w:bookmarkEnd w:id="9"/>
      <w:bookmarkStart w:id="10" w:name="_Toc38787049"/>
      <w:bookmarkEnd w:id="10"/>
      <w:bookmarkStart w:id="11" w:name="_Toc38787036"/>
      <w:bookmarkEnd w:id="11"/>
      <w:bookmarkStart w:id="12" w:name="_Toc38787057"/>
      <w:bookmarkEnd w:id="12"/>
      <w:bookmarkStart w:id="13" w:name="_Toc38787038"/>
      <w:bookmarkEnd w:id="13"/>
      <w:bookmarkStart w:id="14" w:name="_Toc38786995"/>
      <w:bookmarkEnd w:id="14"/>
      <w:bookmarkStart w:id="15" w:name="_Toc38787037"/>
      <w:bookmarkEnd w:id="15"/>
      <w:bookmarkStart w:id="16" w:name="_Toc38787044"/>
      <w:bookmarkEnd w:id="16"/>
      <w:bookmarkStart w:id="17" w:name="_Toc38787061"/>
      <w:bookmarkEnd w:id="17"/>
      <w:bookmarkStart w:id="18" w:name="_Toc38786977"/>
      <w:bookmarkEnd w:id="18"/>
      <w:bookmarkStart w:id="19" w:name="_Toc38787052"/>
      <w:bookmarkEnd w:id="19"/>
      <w:bookmarkStart w:id="20" w:name="_Toc38787040"/>
      <w:bookmarkEnd w:id="20"/>
      <w:bookmarkStart w:id="21" w:name="_Toc38787020"/>
      <w:bookmarkEnd w:id="21"/>
      <w:bookmarkStart w:id="22" w:name="_Toc38787060"/>
      <w:bookmarkEnd w:id="22"/>
      <w:bookmarkStart w:id="23" w:name="_Toc38787041"/>
      <w:bookmarkEnd w:id="23"/>
      <w:bookmarkStart w:id="24" w:name="_Toc38786985"/>
      <w:bookmarkEnd w:id="24"/>
      <w:bookmarkStart w:id="25" w:name="_Toc38787042"/>
      <w:bookmarkEnd w:id="25"/>
      <w:bookmarkStart w:id="26" w:name="_Toc38787000"/>
      <w:bookmarkEnd w:id="26"/>
      <w:bookmarkStart w:id="27" w:name="_Toc38786990"/>
      <w:bookmarkEnd w:id="27"/>
      <w:bookmarkStart w:id="28" w:name="_Toc38787050"/>
      <w:bookmarkEnd w:id="28"/>
      <w:bookmarkStart w:id="29" w:name="_Toc38787030"/>
      <w:bookmarkEnd w:id="29"/>
      <w:bookmarkStart w:id="30" w:name="_Toc38787035"/>
      <w:bookmarkEnd w:id="30"/>
      <w:bookmarkStart w:id="31" w:name="_Toc38787015"/>
      <w:bookmarkEnd w:id="31"/>
      <w:bookmarkStart w:id="32" w:name="_Toc38787048"/>
      <w:bookmarkEnd w:id="32"/>
      <w:bookmarkStart w:id="33" w:name="_Toc38787059"/>
      <w:bookmarkEnd w:id="33"/>
      <w:bookmarkStart w:id="34" w:name="_Toc38787046"/>
      <w:bookmarkEnd w:id="34"/>
      <w:bookmarkStart w:id="35" w:name="_Toc38787056"/>
      <w:bookmarkEnd w:id="35"/>
      <w:bookmarkStart w:id="36" w:name="_Toc38787045"/>
      <w:bookmarkEnd w:id="36"/>
      <w:bookmarkStart w:id="37" w:name="_Toc38787058"/>
      <w:bookmarkEnd w:id="37"/>
      <w:bookmarkStart w:id="38" w:name="_Toc38787047"/>
      <w:bookmarkEnd w:id="38"/>
      <w:bookmarkStart w:id="39" w:name="_Toc38787025"/>
      <w:bookmarkEnd w:id="39"/>
      <w:bookmarkStart w:id="40" w:name="_Toc38787051"/>
      <w:bookmarkEnd w:id="40"/>
      <w:bookmarkStart w:id="41" w:name="_Hlk157157232"/>
      <w:bookmarkStart w:id="42" w:name="_Toc21756"/>
      <w:bookmarkStart w:id="43" w:name="_Toc15157"/>
      <w:bookmarkStart w:id="44" w:name="_Toc6431"/>
      <w:bookmarkStart w:id="45" w:name="_Toc19646"/>
      <w:bookmarkStart w:id="46" w:name="_Toc24647"/>
      <w:bookmarkStart w:id="47" w:name="_Toc15545"/>
      <w:bookmarkStart w:id="48" w:name="_Toc32635"/>
      <w:bookmarkStart w:id="49" w:name="_Toc11457"/>
      <w:bookmarkStart w:id="50" w:name="_Toc20995"/>
      <w:bookmarkStart w:id="51" w:name="_Toc7259"/>
      <w:bookmarkStart w:id="52" w:name="_Toc30882"/>
    </w:p>
    <w:p>
      <w:pPr>
        <w:pStyle w:val="6"/>
        <w:rPr>
          <w:rFonts w:hint="eastAsia" w:ascii="宋体" w:hAnsi="宋体"/>
        </w:rPr>
      </w:pPr>
      <w:bookmarkStart w:id="53" w:name="_Toc180274518"/>
      <w:r>
        <w:rPr>
          <w:rFonts w:hint="eastAsia" w:ascii="宋体" w:hAnsi="宋体"/>
        </w:rPr>
        <w:t>（一）系统概述</w:t>
      </w:r>
      <w:bookmarkEnd w:id="53"/>
    </w:p>
    <w:p>
      <w:pPr>
        <w:spacing w:line="360" w:lineRule="auto"/>
        <w:ind w:firstLine="560" w:firstLineChars="200"/>
        <w:rPr>
          <w:rFonts w:hint="eastAsia" w:ascii="宋体" w:hAnsi="宋体"/>
          <w:sz w:val="28"/>
          <w:szCs w:val="28"/>
          <w:lang w:eastAsia="zh-Hans"/>
        </w:rPr>
      </w:pPr>
      <w:r>
        <w:rPr>
          <w:rFonts w:hint="eastAsia" w:ascii="宋体" w:hAnsi="宋体"/>
          <w:sz w:val="28"/>
          <w:szCs w:val="28"/>
          <w:lang w:eastAsia="zh-Hans"/>
        </w:rPr>
        <w:t>耗材和医用耗材招采管理子系统从网络上分为核心区和公共区，核心区主要是给医保经办人员使用，通过统一门户子系统登录；公共区主要是给医药机构、生产企业、配送企业使用，通过公共服务平台门户登录。招采子系统从框架上分为基础数据模块、耗材招标管理模块、医用耗材招标管理模块、耗材交易结算模块、医用耗材交易结算模块和综合监管模块</w:t>
      </w:r>
      <w:r>
        <w:rPr>
          <w:rFonts w:ascii="宋体" w:hAnsi="宋体"/>
          <w:sz w:val="28"/>
          <w:szCs w:val="28"/>
          <w:lang w:eastAsia="zh-Hans"/>
        </w:rPr>
        <w:t>。</w:t>
      </w:r>
    </w:p>
    <w:p>
      <w:pPr>
        <w:pStyle w:val="3"/>
        <w:spacing w:line="360" w:lineRule="auto"/>
        <w:ind w:firstLine="560" w:firstLineChars="200"/>
        <w:rPr>
          <w:rFonts w:hint="eastAsia" w:ascii="宋体" w:hAnsi="宋体"/>
          <w:sz w:val="28"/>
          <w:szCs w:val="28"/>
        </w:rPr>
      </w:pPr>
      <w:r>
        <w:rPr>
          <w:rFonts w:hint="eastAsia" w:ascii="宋体" w:hAnsi="宋体"/>
          <w:sz w:val="28"/>
          <w:szCs w:val="28"/>
          <w:lang w:eastAsia="zh-Hans"/>
        </w:rPr>
        <w:t>耗材和医用耗材招采管理子系统为医疗保障局提供耗材和医用耗材招标采购信息的监测监管，同时支撑全省的耗材和耗材的招标采购工作。通过耗材和医用耗材招采管理系统和国家系统进行对接，将数据进行上传，便于国家统一监测和监管，为国家决策提供相关依据，便于国家对市场作出调节。</w:t>
      </w:r>
    </w:p>
    <w:p>
      <w:pPr>
        <w:pStyle w:val="6"/>
        <w:rPr>
          <w:rFonts w:hint="eastAsia" w:ascii="宋体" w:hAnsi="宋体"/>
        </w:rPr>
      </w:pPr>
      <w:bookmarkStart w:id="54" w:name="_Toc180274519"/>
      <w:r>
        <w:rPr>
          <w:rFonts w:hint="eastAsia" w:ascii="宋体" w:hAnsi="宋体"/>
        </w:rPr>
        <w:t>（二）功能预览</w:t>
      </w:r>
      <w:bookmarkEnd w:id="54"/>
    </w:p>
    <w:p>
      <w:pPr>
        <w:spacing w:line="360" w:lineRule="auto"/>
        <w:ind w:firstLine="560" w:firstLineChars="200"/>
        <w:rPr>
          <w:rFonts w:hint="eastAsia" w:ascii="宋体" w:hAnsi="宋体"/>
          <w:sz w:val="28"/>
          <w:szCs w:val="28"/>
          <w:lang w:eastAsia="zh-Hans"/>
        </w:rPr>
      </w:pPr>
      <w:r>
        <w:rPr>
          <w:rFonts w:hint="eastAsia" w:ascii="宋体" w:hAnsi="宋体"/>
          <w:sz w:val="28"/>
          <w:szCs w:val="28"/>
          <w:lang w:eastAsia="zh-Hans"/>
        </w:rPr>
        <w:t>基础数据：获取国家局下发耗材、医用耗材、体外诊断试剂目录信息及医药机构、生产企业、配送企业等机构信息，为本地开展招标采购工作提供数据支撑。</w:t>
      </w:r>
    </w:p>
    <w:p>
      <w:pPr>
        <w:spacing w:line="360" w:lineRule="auto"/>
        <w:ind w:firstLine="560" w:firstLineChars="200"/>
        <w:rPr>
          <w:rFonts w:hint="eastAsia" w:ascii="宋体" w:hAnsi="宋体"/>
          <w:sz w:val="28"/>
          <w:szCs w:val="28"/>
          <w:lang w:eastAsia="zh-Hans"/>
        </w:rPr>
      </w:pPr>
      <w:r>
        <w:rPr>
          <w:rFonts w:hint="eastAsia" w:ascii="宋体" w:hAnsi="宋体"/>
          <w:sz w:val="28"/>
          <w:szCs w:val="28"/>
          <w:lang w:eastAsia="zh-Hans"/>
        </w:rPr>
        <w:t>招标管理：依托基础数据开展省级招标工作，包含常见的几种招标模式：集中招标采购、直接挂网采购、带量采购、限价采购等。</w:t>
      </w:r>
    </w:p>
    <w:p>
      <w:pPr>
        <w:spacing w:line="360" w:lineRule="auto"/>
        <w:ind w:firstLine="560" w:firstLineChars="200"/>
        <w:rPr>
          <w:rFonts w:hint="eastAsia" w:ascii="宋体" w:hAnsi="宋体"/>
          <w:sz w:val="28"/>
          <w:szCs w:val="28"/>
          <w:lang w:eastAsia="zh-Hans"/>
        </w:rPr>
      </w:pPr>
      <w:r>
        <w:rPr>
          <w:rFonts w:hint="eastAsia" w:ascii="宋体" w:hAnsi="宋体"/>
          <w:sz w:val="28"/>
          <w:szCs w:val="28"/>
          <w:lang w:eastAsia="zh-Hans"/>
        </w:rPr>
        <w:t>交易结算：根据招标的结果为根据招标的结果为医疗机构、生产经营企业提供线上创建采购计划功能，包括挂网目录查看、自主议价、配送关系管理、短缺药上报、备案采购、采购管理、结算账户管理、结算发票审核、对账单确认、在线支付等。</w:t>
      </w:r>
    </w:p>
    <w:p>
      <w:pPr>
        <w:spacing w:line="360" w:lineRule="auto"/>
        <w:ind w:firstLine="560" w:firstLineChars="200"/>
        <w:rPr>
          <w:rFonts w:hint="eastAsia" w:ascii="宋体" w:hAnsi="宋体"/>
          <w:sz w:val="28"/>
          <w:szCs w:val="28"/>
          <w:lang w:eastAsia="zh-Hans"/>
        </w:rPr>
      </w:pPr>
      <w:r>
        <w:rPr>
          <w:rFonts w:hint="eastAsia" w:ascii="宋体" w:hAnsi="宋体"/>
          <w:sz w:val="28"/>
          <w:szCs w:val="28"/>
          <w:lang w:eastAsia="zh-Hans"/>
        </w:rPr>
        <w:t>综合监管：为各级主管部门提供数据统计、价格分析、执行情况监测等功能。数据统计从采购信息、医药机构、生产企业、配送企业等维度进行统计；价格分析从产品、地区、周期等几方面进行分析；执行情况监测从带量采购完成情况、协议签订情况、货款结算情况、短缺药申报汇总等方面进行监测。</w:t>
      </w:r>
    </w:p>
    <w:p>
      <w:pPr>
        <w:pStyle w:val="2"/>
        <w:ind w:firstLine="0"/>
        <w:rPr>
          <w:rFonts w:hint="eastAsia" w:ascii="宋体" w:hAnsi="宋体"/>
        </w:rPr>
      </w:pPr>
    </w:p>
    <w:bookmarkEnd w:id="41"/>
    <w:p>
      <w:pPr>
        <w:pStyle w:val="5"/>
        <w:numPr>
          <w:ilvl w:val="0"/>
          <w:numId w:val="1"/>
        </w:numPr>
        <w:ind w:left="-400" w:firstLine="0"/>
        <w:rPr>
          <w:rFonts w:hint="eastAsia" w:ascii="宋体" w:hAnsi="宋体" w:cs="宋体"/>
          <w:color w:val="000000" w:themeColor="text1"/>
          <w14:textFill>
            <w14:solidFill>
              <w14:schemeClr w14:val="tx1"/>
            </w14:solidFill>
          </w14:textFill>
        </w:rPr>
      </w:pPr>
      <w:bookmarkStart w:id="55" w:name="_Toc180274520"/>
      <w:r>
        <w:rPr>
          <w:rFonts w:hint="eastAsia" w:ascii="宋体" w:hAnsi="宋体" w:cs="宋体"/>
          <w:color w:val="000000" w:themeColor="text1"/>
          <w14:textFill>
            <w14:solidFill>
              <w14:schemeClr w14:val="tx1"/>
            </w14:solidFill>
          </w14:textFill>
        </w:rPr>
        <w:t>公共服务登录</w:t>
      </w:r>
      <w:bookmarkEnd w:id="55"/>
    </w:p>
    <w:p>
      <w:pPr>
        <w:pStyle w:val="6"/>
        <w:rPr>
          <w:rFonts w:hint="eastAsia" w:ascii="宋体" w:hAnsi="宋体"/>
          <w:sz w:val="28"/>
          <w:szCs w:val="28"/>
        </w:rPr>
      </w:pPr>
      <w:bookmarkStart w:id="56" w:name="_Toc180274521"/>
      <w:r>
        <w:rPr>
          <w:rFonts w:hint="eastAsia" w:ascii="宋体" w:hAnsi="宋体"/>
        </w:rPr>
        <w:t>（一）登录系统</w:t>
      </w:r>
      <w:bookmarkEnd w:id="56"/>
    </w:p>
    <w:p>
      <w:pPr>
        <w:pStyle w:val="3"/>
        <w:wordWrap w:val="0"/>
        <w:ind w:firstLine="240" w:firstLineChars="100"/>
        <w:rPr>
          <w:rFonts w:hint="eastAsia" w:ascii="宋体" w:hAnsi="宋体"/>
          <w:sz w:val="24"/>
          <w:szCs w:val="24"/>
        </w:rPr>
      </w:pPr>
      <w:r>
        <w:rPr>
          <w:rFonts w:hint="eastAsia" w:ascii="宋体" w:hAnsi="宋体"/>
          <w:sz w:val="24"/>
          <w:szCs w:val="24"/>
        </w:rPr>
        <w:t xml:space="preserve">1. </w:t>
      </w:r>
      <w:r>
        <w:rPr>
          <w:rFonts w:hint="eastAsia" w:ascii="宋体" w:hAnsi="宋体"/>
          <w:sz w:val="24"/>
          <w:szCs w:val="24"/>
          <w:lang w:eastAsia="zh-Hans"/>
        </w:rPr>
        <w:t>登录</w:t>
      </w:r>
      <w:r>
        <w:rPr>
          <w:rFonts w:hint="eastAsia" w:ascii="宋体" w:hAnsi="宋体"/>
          <w:sz w:val="24"/>
          <w:szCs w:val="24"/>
        </w:rPr>
        <w:t>江西</w:t>
      </w:r>
      <w:r>
        <w:rPr>
          <w:rFonts w:hint="eastAsia" w:ascii="宋体" w:hAnsi="宋体"/>
          <w:sz w:val="24"/>
          <w:szCs w:val="24"/>
          <w:lang w:eastAsia="zh-Hans"/>
        </w:rPr>
        <w:t>医保公共服务平台首</w:t>
      </w:r>
      <w:r>
        <w:rPr>
          <w:rFonts w:hint="eastAsia" w:ascii="宋体" w:hAnsi="宋体"/>
          <w:sz w:val="24"/>
          <w:szCs w:val="24"/>
          <w:lang w:eastAsia="zh-CN"/>
        </w:rPr>
        <w:t>页</w:t>
      </w:r>
      <w:r>
        <w:rPr>
          <w:rFonts w:ascii="宋体" w:hAnsi="宋体"/>
          <w:sz w:val="24"/>
          <w:szCs w:val="24"/>
          <w:lang w:eastAsia="zh-Hans"/>
        </w:rPr>
        <w:t>https://ggfw.ybj.jiangxi.gov.cn</w:t>
      </w:r>
    </w:p>
    <w:p>
      <w:pPr>
        <w:pStyle w:val="2"/>
        <w:ind w:firstLine="0"/>
        <w:jc w:val="center"/>
        <w:rPr>
          <w:rFonts w:hint="eastAsia" w:ascii="宋体" w:hAnsi="宋体" w:cs="楷体"/>
        </w:rPr>
      </w:pPr>
      <w:r>
        <w:rPr>
          <w:rFonts w:ascii="宋体" w:hAnsi="宋体"/>
        </w:rPr>
        <w:drawing>
          <wp:inline distT="0" distB="0" distL="0" distR="0">
            <wp:extent cx="5274310" cy="2453005"/>
            <wp:effectExtent l="0" t="0" r="2540" b="4445"/>
            <wp:docPr id="1628834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4629" name="图片 1"/>
                    <pic:cNvPicPr>
                      <a:picLocks noChangeAspect="1"/>
                    </pic:cNvPicPr>
                  </pic:nvPicPr>
                  <pic:blipFill>
                    <a:blip r:embed="rId6"/>
                    <a:stretch>
                      <a:fillRect/>
                    </a:stretch>
                  </pic:blipFill>
                  <pic:spPr>
                    <a:xfrm>
                      <a:off x="0" y="0"/>
                      <a:ext cx="5274310" cy="2453005"/>
                    </a:xfrm>
                    <a:prstGeom prst="rect">
                      <a:avLst/>
                    </a:prstGeom>
                  </pic:spPr>
                </pic:pic>
              </a:graphicData>
            </a:graphic>
          </wp:inline>
        </w:drawing>
      </w:r>
    </w:p>
    <w:p>
      <w:pPr>
        <w:pStyle w:val="2"/>
        <w:rPr>
          <w:rFonts w:hint="eastAsia" w:ascii="宋体" w:hAnsi="宋体"/>
          <w:szCs w:val="24"/>
          <w:lang w:eastAsia="zh-Hans"/>
        </w:rPr>
      </w:pPr>
      <w:r>
        <w:rPr>
          <w:rFonts w:ascii="宋体" w:hAnsi="宋体"/>
          <w:szCs w:val="24"/>
        </w:rPr>
        <w:t>2</w:t>
      </w:r>
      <w:r>
        <w:rPr>
          <w:rFonts w:hint="eastAsia" w:ascii="宋体" w:hAnsi="宋体"/>
          <w:szCs w:val="24"/>
        </w:rPr>
        <w:t xml:space="preserve">. </w:t>
      </w:r>
      <w:r>
        <w:rPr>
          <w:rFonts w:hint="eastAsia" w:ascii="宋体" w:hAnsi="宋体"/>
          <w:szCs w:val="24"/>
          <w:lang w:eastAsia="zh-Hans"/>
        </w:rPr>
        <w:t>选择单位账号登录，输入账号密码，点击</w:t>
      </w:r>
      <w:r>
        <w:rPr>
          <w:rFonts w:hint="eastAsia" w:ascii="宋体" w:hAnsi="宋体"/>
          <w:szCs w:val="24"/>
        </w:rPr>
        <w:t>【</w:t>
      </w:r>
      <w:r>
        <w:rPr>
          <w:rFonts w:hint="eastAsia" w:ascii="宋体" w:hAnsi="宋体"/>
          <w:szCs w:val="24"/>
          <w:lang w:eastAsia="zh-Hans"/>
        </w:rPr>
        <w:t>登录</w:t>
      </w:r>
      <w:r>
        <w:rPr>
          <w:rFonts w:hint="eastAsia" w:ascii="宋体" w:hAnsi="宋体"/>
          <w:szCs w:val="24"/>
        </w:rPr>
        <w:t>】</w:t>
      </w:r>
      <w:r>
        <w:rPr>
          <w:rFonts w:hint="eastAsia" w:ascii="宋体" w:hAnsi="宋体"/>
          <w:szCs w:val="24"/>
          <w:lang w:eastAsia="zh-Hans"/>
        </w:rPr>
        <w:t>按钮</w:t>
      </w:r>
    </w:p>
    <w:p>
      <w:pPr>
        <w:pStyle w:val="2"/>
        <w:ind w:firstLine="0"/>
        <w:jc w:val="center"/>
        <w:rPr>
          <w:rFonts w:hint="eastAsia" w:ascii="宋体" w:hAnsi="宋体" w:cs="楷体"/>
        </w:rPr>
      </w:pPr>
      <w:r>
        <w:rPr>
          <w:rFonts w:ascii="宋体" w:hAnsi="宋体"/>
        </w:rPr>
        <w:drawing>
          <wp:inline distT="0" distB="0" distL="0" distR="0">
            <wp:extent cx="5274310" cy="2453005"/>
            <wp:effectExtent l="0" t="0" r="2540" b="4445"/>
            <wp:docPr id="44035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3653" name="图片 1"/>
                    <pic:cNvPicPr>
                      <a:picLocks noChangeAspect="1"/>
                    </pic:cNvPicPr>
                  </pic:nvPicPr>
                  <pic:blipFill>
                    <a:blip r:embed="rId7"/>
                    <a:stretch>
                      <a:fillRect/>
                    </a:stretch>
                  </pic:blipFill>
                  <pic:spPr>
                    <a:xfrm>
                      <a:off x="0" y="0"/>
                      <a:ext cx="5274310" cy="2453005"/>
                    </a:xfrm>
                    <a:prstGeom prst="rect">
                      <a:avLst/>
                    </a:prstGeom>
                  </pic:spPr>
                </pic:pic>
              </a:graphicData>
            </a:graphic>
          </wp:inline>
        </w:drawing>
      </w:r>
    </w:p>
    <w:p>
      <w:pPr>
        <w:pStyle w:val="2"/>
        <w:rPr>
          <w:rFonts w:hint="eastAsia" w:ascii="宋体" w:hAnsi="宋体" w:cs="楷体"/>
        </w:rPr>
      </w:pPr>
      <w:r>
        <w:rPr>
          <w:rFonts w:ascii="宋体" w:hAnsi="宋体"/>
          <w:szCs w:val="24"/>
        </w:rPr>
        <w:t>3</w:t>
      </w:r>
      <w:r>
        <w:rPr>
          <w:rFonts w:hint="eastAsia" w:ascii="宋体" w:hAnsi="宋体"/>
          <w:szCs w:val="24"/>
        </w:rPr>
        <w:t>.</w:t>
      </w:r>
      <w:r>
        <w:rPr>
          <w:rFonts w:hint="eastAsia" w:ascii="宋体" w:hAnsi="宋体"/>
          <w:szCs w:val="24"/>
          <w:lang w:eastAsia="zh-Hans"/>
        </w:rPr>
        <w:t>点击</w:t>
      </w:r>
      <w:r>
        <w:rPr>
          <w:rFonts w:hint="eastAsia" w:ascii="宋体" w:hAnsi="宋体"/>
          <w:szCs w:val="24"/>
        </w:rPr>
        <w:t>【</w:t>
      </w:r>
      <w:r>
        <w:rPr>
          <w:rFonts w:hint="eastAsia" w:ascii="宋体" w:hAnsi="宋体"/>
          <w:szCs w:val="24"/>
          <w:lang w:eastAsia="zh-Hans"/>
        </w:rPr>
        <w:t>进入单位网厅</w:t>
      </w:r>
      <w:r>
        <w:rPr>
          <w:rFonts w:hint="eastAsia" w:ascii="宋体" w:hAnsi="宋体"/>
          <w:szCs w:val="24"/>
        </w:rPr>
        <w:t>】</w:t>
      </w:r>
      <w:r>
        <w:rPr>
          <w:rFonts w:hint="eastAsia" w:ascii="宋体" w:hAnsi="宋体"/>
          <w:szCs w:val="24"/>
          <w:lang w:eastAsia="zh-Hans"/>
        </w:rPr>
        <w:t>按钮，进入，完成登录。</w:t>
      </w:r>
    </w:p>
    <w:p>
      <w:pPr>
        <w:jc w:val="center"/>
        <w:rPr>
          <w:rFonts w:hint="eastAsia" w:ascii="宋体" w:hAnsi="宋体" w:cs="楷体"/>
        </w:rPr>
      </w:pPr>
      <w:r>
        <w:rPr>
          <w:rFonts w:ascii="宋体" w:hAnsi="宋体"/>
        </w:rPr>
        <w:drawing>
          <wp:inline distT="0" distB="0" distL="0" distR="0">
            <wp:extent cx="5274310" cy="2453005"/>
            <wp:effectExtent l="0" t="0" r="2540" b="4445"/>
            <wp:docPr id="1564789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89682" name="图片 1"/>
                    <pic:cNvPicPr>
                      <a:picLocks noChangeAspect="1"/>
                    </pic:cNvPicPr>
                  </pic:nvPicPr>
                  <pic:blipFill>
                    <a:blip r:embed="rId8"/>
                    <a:stretch>
                      <a:fillRect/>
                    </a:stretch>
                  </pic:blipFill>
                  <pic:spPr>
                    <a:xfrm>
                      <a:off x="0" y="0"/>
                      <a:ext cx="5274310" cy="2453005"/>
                    </a:xfrm>
                    <a:prstGeom prst="rect">
                      <a:avLst/>
                    </a:prstGeom>
                  </pic:spPr>
                </pic:pic>
              </a:graphicData>
            </a:graphic>
          </wp:inline>
        </w:drawing>
      </w:r>
    </w:p>
    <w:p>
      <w:pPr>
        <w:pStyle w:val="2"/>
        <w:rPr>
          <w:rFonts w:hint="eastAsia" w:ascii="宋体" w:hAnsi="宋体"/>
          <w:szCs w:val="24"/>
          <w:lang w:eastAsia="zh-Hans"/>
        </w:rPr>
      </w:pPr>
      <w:r>
        <w:rPr>
          <w:rFonts w:hint="eastAsia" w:ascii="宋体" w:hAnsi="宋体"/>
          <w:szCs w:val="24"/>
          <w:lang w:val="en-US" w:eastAsia="zh-CN"/>
        </w:rPr>
        <w:t>4</w:t>
      </w:r>
      <w:r>
        <w:rPr>
          <w:rFonts w:hint="eastAsia" w:ascii="宋体" w:hAnsi="宋体"/>
          <w:szCs w:val="24"/>
        </w:rPr>
        <w:t>.</w:t>
      </w:r>
      <w:r>
        <w:rPr>
          <w:rFonts w:hint="eastAsia" w:ascii="宋体" w:hAnsi="宋体"/>
          <w:szCs w:val="24"/>
          <w:lang w:eastAsia="zh-Hans"/>
        </w:rPr>
        <w:t>点击</w:t>
      </w:r>
      <w:r>
        <w:rPr>
          <w:rFonts w:hint="eastAsia" w:ascii="宋体" w:hAnsi="宋体"/>
          <w:szCs w:val="24"/>
        </w:rPr>
        <w:t>【</w:t>
      </w:r>
      <w:r>
        <w:rPr>
          <w:rFonts w:hint="eastAsia" w:ascii="宋体" w:hAnsi="宋体"/>
          <w:szCs w:val="24"/>
          <w:lang w:eastAsia="zh-Hans"/>
        </w:rPr>
        <w:t>招采服务</w:t>
      </w:r>
      <w:r>
        <w:rPr>
          <w:rFonts w:hint="eastAsia" w:ascii="宋体" w:hAnsi="宋体"/>
          <w:szCs w:val="24"/>
        </w:rPr>
        <w:t>】</w:t>
      </w:r>
      <w:r>
        <w:rPr>
          <w:rFonts w:hint="eastAsia" w:ascii="宋体" w:hAnsi="宋体"/>
          <w:szCs w:val="24"/>
          <w:lang w:eastAsia="zh-Hans"/>
        </w:rPr>
        <w:t>按钮，出现招采系统图片，点击图片跳转至招采管理子系统</w:t>
      </w:r>
      <w:bookmarkStart w:id="61" w:name="_GoBack"/>
      <w:bookmarkEnd w:id="61"/>
    </w:p>
    <w:p>
      <w:pPr>
        <w:jc w:val="center"/>
        <w:rPr>
          <w:rFonts w:hint="eastAsia" w:ascii="宋体" w:hAnsi="宋体"/>
        </w:rPr>
      </w:pPr>
      <w:r>
        <w:rPr>
          <w:rFonts w:ascii="宋体" w:hAnsi="宋体"/>
        </w:rPr>
        <w:drawing>
          <wp:inline distT="0" distB="0" distL="0" distR="0">
            <wp:extent cx="5274310" cy="2453005"/>
            <wp:effectExtent l="0" t="0" r="2540" b="4445"/>
            <wp:docPr id="1622300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00409" name="图片 1"/>
                    <pic:cNvPicPr>
                      <a:picLocks noChangeAspect="1"/>
                    </pic:cNvPicPr>
                  </pic:nvPicPr>
                  <pic:blipFill>
                    <a:blip r:embed="rId9"/>
                    <a:stretch>
                      <a:fillRect/>
                    </a:stretch>
                  </pic:blipFill>
                  <pic:spPr>
                    <a:xfrm>
                      <a:off x="0" y="0"/>
                      <a:ext cx="5274310" cy="2453005"/>
                    </a:xfrm>
                    <a:prstGeom prst="rect">
                      <a:avLst/>
                    </a:prstGeom>
                  </pic:spPr>
                </pic:pic>
              </a:graphicData>
            </a:graphic>
          </wp:inline>
        </w:drawing>
      </w:r>
    </w:p>
    <w:p>
      <w:pPr>
        <w:rPr>
          <w:rFonts w:ascii="宋体" w:hAnsi="宋体"/>
          <w:lang w:eastAsia="zh-Hans"/>
        </w:rPr>
      </w:pPr>
    </w:p>
    <w:p>
      <w:pPr>
        <w:pStyle w:val="5"/>
        <w:numPr>
          <w:ilvl w:val="0"/>
          <w:numId w:val="1"/>
        </w:numPr>
        <w:ind w:left="-400" w:firstLine="0"/>
        <w:rPr>
          <w:rFonts w:hint="eastAsia" w:ascii="宋体" w:hAnsi="宋体" w:cs="宋体"/>
          <w:color w:val="000000" w:themeColor="text1"/>
          <w14:textFill>
            <w14:solidFill>
              <w14:schemeClr w14:val="tx1"/>
            </w14:solidFill>
          </w14:textFill>
        </w:rPr>
      </w:pPr>
      <w:bookmarkStart w:id="57" w:name="_Toc180274522"/>
      <w:r>
        <w:rPr>
          <w:rFonts w:hint="eastAsia" w:ascii="宋体" w:hAnsi="宋体" w:cs="宋体"/>
          <w:color w:val="000000" w:themeColor="text1"/>
          <w14:textFill>
            <w14:solidFill>
              <w14:schemeClr w14:val="tx1"/>
            </w14:solidFill>
          </w14:textFill>
        </w:rPr>
        <w:t>氯化钠企业报价加解密</w:t>
      </w:r>
      <w:bookmarkEnd w:id="57"/>
    </w:p>
    <w:p>
      <w:pPr>
        <w:pStyle w:val="6"/>
        <w:rPr>
          <w:rFonts w:hint="eastAsia" w:ascii="宋体" w:hAnsi="宋体"/>
        </w:rPr>
      </w:pPr>
      <w:bookmarkStart w:id="58" w:name="_Toc180274523"/>
      <w:r>
        <w:rPr>
          <w:rFonts w:hint="eastAsia" w:ascii="宋体" w:hAnsi="宋体"/>
        </w:rPr>
        <w:t>（一）CA绑定</w:t>
      </w:r>
      <w:bookmarkEnd w:id="58"/>
    </w:p>
    <w:p>
      <w:pPr>
        <w:pStyle w:val="2"/>
        <w:rPr>
          <w:rFonts w:hint="eastAsia" w:ascii="宋体" w:hAnsi="宋体" w:cs="宋体"/>
          <w:szCs w:val="24"/>
        </w:rPr>
      </w:pPr>
      <w:r>
        <w:rPr>
          <w:rFonts w:hint="eastAsia" w:ascii="宋体" w:hAnsi="宋体" w:cs="宋体"/>
          <w:szCs w:val="24"/>
        </w:rPr>
        <w:t>1.点击【药品招标管理】模块。</w:t>
      </w:r>
    </w:p>
    <w:p>
      <w:pPr>
        <w:pStyle w:val="2"/>
        <w:ind w:firstLine="0"/>
        <w:rPr>
          <w:rFonts w:hint="eastAsia" w:ascii="宋体" w:hAnsi="宋体" w:cs="宋体"/>
        </w:rPr>
      </w:pPr>
      <w:r>
        <w:rPr>
          <w:rFonts w:ascii="宋体" w:hAnsi="宋体"/>
        </w:rPr>
        <w:drawing>
          <wp:inline distT="0" distB="0" distL="114300" distR="114300">
            <wp:extent cx="5266690" cy="1942465"/>
            <wp:effectExtent l="0" t="0" r="1016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1942465"/>
                    </a:xfrm>
                    <a:prstGeom prst="rect">
                      <a:avLst/>
                    </a:prstGeom>
                    <a:noFill/>
                    <a:ln>
                      <a:noFill/>
                    </a:ln>
                  </pic:spPr>
                </pic:pic>
              </a:graphicData>
            </a:graphic>
          </wp:inline>
        </w:drawing>
      </w:r>
    </w:p>
    <w:p>
      <w:pPr>
        <w:pStyle w:val="2"/>
        <w:numPr>
          <w:ilvl w:val="0"/>
          <w:numId w:val="2"/>
        </w:numPr>
        <w:rPr>
          <w:rFonts w:hint="eastAsia" w:ascii="宋体" w:hAnsi="宋体" w:cs="宋体"/>
        </w:rPr>
      </w:pPr>
      <w:r>
        <w:rPr>
          <w:rFonts w:hint="eastAsia" w:ascii="宋体" w:hAnsi="宋体" w:cs="宋体"/>
          <w:szCs w:val="24"/>
        </w:rPr>
        <w:t>点击菜单【药品填报管理-CA证书绑定】，未按照驱动的用户，需要先下载CA驱动，全部安装完成后，重新启动电脑，然后插入CA，点击按钮【获取证书信息】，确认显示的信息和当前账号信息是否一致，如不一致请在系统中修改信息。</w:t>
      </w:r>
      <w:r>
        <w:rPr>
          <w:rFonts w:hint="eastAsia" w:ascii="宋体" w:hAnsi="宋体" w:cs="宋体"/>
        </w:rPr>
        <w:t xml:space="preserve"> </w:t>
      </w:r>
    </w:p>
    <w:p>
      <w:pPr>
        <w:pStyle w:val="2"/>
        <w:ind w:firstLine="0"/>
        <w:rPr>
          <w:rFonts w:ascii="宋体" w:hAnsi="宋体"/>
        </w:rPr>
      </w:pPr>
      <w:r>
        <w:rPr>
          <w:rFonts w:ascii="宋体" w:hAnsi="宋体"/>
        </w:rPr>
        <w:drawing>
          <wp:inline distT="0" distB="0" distL="114300" distR="114300">
            <wp:extent cx="5266690" cy="1802130"/>
            <wp:effectExtent l="0" t="0" r="1016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66690" cy="1802130"/>
                    </a:xfrm>
                    <a:prstGeom prst="rect">
                      <a:avLst/>
                    </a:prstGeom>
                    <a:noFill/>
                    <a:ln>
                      <a:noFill/>
                    </a:ln>
                  </pic:spPr>
                </pic:pic>
              </a:graphicData>
            </a:graphic>
          </wp:inline>
        </w:drawing>
      </w:r>
    </w:p>
    <w:p>
      <w:pPr>
        <w:pStyle w:val="2"/>
        <w:numPr>
          <w:ilvl w:val="0"/>
          <w:numId w:val="2"/>
        </w:numPr>
        <w:rPr>
          <w:rFonts w:hint="eastAsia" w:ascii="宋体" w:hAnsi="宋体" w:cs="宋体"/>
        </w:rPr>
      </w:pPr>
      <w:r>
        <w:rPr>
          <w:rFonts w:hint="eastAsia" w:ascii="宋体" w:hAnsi="宋体" w:cs="宋体"/>
          <w:szCs w:val="24"/>
        </w:rPr>
        <w:t>确认无误后点击按钮【证书信息绑定】即可绑定CA证书。</w:t>
      </w:r>
      <w:r>
        <w:rPr>
          <w:rFonts w:hint="eastAsia" w:ascii="宋体" w:hAnsi="宋体" w:cs="宋体"/>
        </w:rPr>
        <w:t xml:space="preserve"> </w:t>
      </w:r>
    </w:p>
    <w:p>
      <w:pPr>
        <w:pStyle w:val="2"/>
        <w:ind w:firstLine="0"/>
        <w:rPr>
          <w:rFonts w:hint="eastAsia" w:ascii="宋体" w:hAnsi="宋体"/>
        </w:rPr>
      </w:pPr>
      <w:r>
        <w:rPr>
          <w:rFonts w:ascii="宋体" w:hAnsi="宋体"/>
        </w:rPr>
        <w:drawing>
          <wp:inline distT="0" distB="0" distL="114300" distR="114300">
            <wp:extent cx="5263515" cy="2005965"/>
            <wp:effectExtent l="0" t="0" r="13335" b="133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5263515" cy="2005965"/>
                    </a:xfrm>
                    <a:prstGeom prst="rect">
                      <a:avLst/>
                    </a:prstGeom>
                    <a:noFill/>
                    <a:ln>
                      <a:noFill/>
                    </a:ln>
                  </pic:spPr>
                </pic:pic>
              </a:graphicData>
            </a:graphic>
          </wp:inline>
        </w:drawing>
      </w:r>
    </w:p>
    <w:p>
      <w:pPr>
        <w:pStyle w:val="6"/>
        <w:rPr>
          <w:rFonts w:hint="eastAsia" w:ascii="宋体" w:hAnsi="宋体"/>
        </w:rPr>
      </w:pPr>
      <w:bookmarkStart w:id="59" w:name="_Toc180274524"/>
      <w:r>
        <w:rPr>
          <w:rFonts w:hint="eastAsia" w:ascii="宋体" w:hAnsi="宋体"/>
        </w:rPr>
        <w:t>（二）报价加密</w:t>
      </w:r>
      <w:bookmarkEnd w:id="59"/>
    </w:p>
    <w:p>
      <w:pPr>
        <w:pStyle w:val="2"/>
        <w:rPr>
          <w:rFonts w:hint="eastAsia" w:ascii="宋体" w:hAnsi="宋体" w:cs="宋体"/>
          <w:szCs w:val="24"/>
        </w:rPr>
      </w:pPr>
      <w:r>
        <w:rPr>
          <w:rFonts w:hint="eastAsia" w:ascii="宋体" w:hAnsi="宋体" w:cs="宋体"/>
          <w:szCs w:val="24"/>
        </w:rPr>
        <w:t>1.点击【药品招标管理】模块。</w:t>
      </w:r>
    </w:p>
    <w:bookmarkEnd w:id="42"/>
    <w:bookmarkEnd w:id="43"/>
    <w:bookmarkEnd w:id="44"/>
    <w:bookmarkEnd w:id="45"/>
    <w:bookmarkEnd w:id="46"/>
    <w:bookmarkEnd w:id="47"/>
    <w:bookmarkEnd w:id="48"/>
    <w:bookmarkEnd w:id="49"/>
    <w:bookmarkEnd w:id="50"/>
    <w:bookmarkEnd w:id="51"/>
    <w:bookmarkEnd w:id="52"/>
    <w:p>
      <w:pPr>
        <w:pStyle w:val="2"/>
        <w:ind w:firstLine="0"/>
        <w:rPr>
          <w:rFonts w:hint="eastAsia" w:ascii="宋体" w:hAnsi="宋体" w:cs="宋体"/>
        </w:rPr>
      </w:pPr>
      <w:r>
        <w:rPr>
          <w:rFonts w:ascii="宋体" w:hAnsi="宋体"/>
        </w:rPr>
        <w:drawing>
          <wp:inline distT="0" distB="0" distL="114300" distR="114300">
            <wp:extent cx="5266690" cy="19424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690" cy="1942465"/>
                    </a:xfrm>
                    <a:prstGeom prst="rect">
                      <a:avLst/>
                    </a:prstGeom>
                    <a:noFill/>
                    <a:ln>
                      <a:noFill/>
                    </a:ln>
                  </pic:spPr>
                </pic:pic>
              </a:graphicData>
            </a:graphic>
          </wp:inline>
        </w:drawing>
      </w:r>
    </w:p>
    <w:p>
      <w:pPr>
        <w:pStyle w:val="2"/>
        <w:ind w:firstLine="0"/>
        <w:rPr>
          <w:rFonts w:hint="eastAsia" w:ascii="宋体" w:hAnsi="宋体" w:cs="宋体"/>
        </w:rPr>
      </w:pPr>
      <w:r>
        <w:rPr>
          <w:rFonts w:ascii="宋体" w:hAnsi="宋体" w:cs="宋体"/>
        </w:rPr>
        <w:tab/>
      </w:r>
      <w:r>
        <w:rPr>
          <w:rFonts w:hint="eastAsia" w:ascii="宋体" w:hAnsi="宋体" w:cs="宋体"/>
        </w:rPr>
        <w:t>2.</w:t>
      </w:r>
      <w:r>
        <w:rPr>
          <w:rFonts w:hint="eastAsia" w:ascii="宋体" w:hAnsi="宋体" w:cs="宋体"/>
          <w:szCs w:val="24"/>
        </w:rPr>
        <w:t xml:space="preserve"> 点击菜单【药品填报管理-产品报价加解密】页面，在规定时间范围内进行报价。</w:t>
      </w:r>
      <w:r>
        <w:rPr>
          <w:rFonts w:hint="eastAsia" w:ascii="宋体" w:hAnsi="宋体" w:cs="宋体"/>
        </w:rPr>
        <w:t xml:space="preserve"> </w:t>
      </w:r>
    </w:p>
    <w:p>
      <w:pPr>
        <w:pStyle w:val="2"/>
        <w:ind w:firstLine="0"/>
        <w:rPr>
          <w:rFonts w:hint="eastAsia" w:ascii="宋体" w:hAnsi="宋体" w:cs="宋体"/>
        </w:rPr>
      </w:pPr>
      <w:r>
        <w:rPr>
          <w:rFonts w:ascii="宋体" w:hAnsi="宋体"/>
        </w:rPr>
        <w:drawing>
          <wp:inline distT="0" distB="0" distL="114300" distR="114300">
            <wp:extent cx="5257800" cy="1753235"/>
            <wp:effectExtent l="0" t="0" r="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57800" cy="1753235"/>
                    </a:xfrm>
                    <a:prstGeom prst="rect">
                      <a:avLst/>
                    </a:prstGeom>
                    <a:noFill/>
                    <a:ln>
                      <a:noFill/>
                    </a:ln>
                  </pic:spPr>
                </pic:pic>
              </a:graphicData>
            </a:graphic>
          </wp:inline>
        </w:drawing>
      </w:r>
    </w:p>
    <w:p>
      <w:pPr>
        <w:pStyle w:val="2"/>
        <w:numPr>
          <w:ilvl w:val="0"/>
          <w:numId w:val="3"/>
        </w:numPr>
        <w:rPr>
          <w:rFonts w:hint="eastAsia" w:ascii="宋体" w:hAnsi="宋体" w:cs="宋体"/>
        </w:rPr>
      </w:pPr>
      <w:r>
        <w:rPr>
          <w:rFonts w:hint="eastAsia" w:ascii="宋体" w:hAnsi="宋体" w:cs="宋体"/>
        </w:rPr>
        <w:t>进入填报页面，选择‘氯化钠等注射液市级联盟集中带量采购’项目，点击按钮【进入项目】，在跳转页面中企业报价。</w:t>
      </w:r>
      <w:r>
        <w:rPr>
          <w:rFonts w:hint="eastAsia" w:ascii="宋体" w:hAnsi="宋体" w:cs="宋体"/>
        </w:rPr>
        <w:tab/>
      </w:r>
    </w:p>
    <w:p>
      <w:pPr>
        <w:pStyle w:val="2"/>
        <w:ind w:firstLine="0"/>
        <w:rPr>
          <w:rFonts w:hint="eastAsia" w:ascii="宋体" w:hAnsi="宋体"/>
        </w:rPr>
      </w:pPr>
      <w:r>
        <w:rPr>
          <w:rFonts w:ascii="宋体" w:hAnsi="宋体"/>
        </w:rPr>
        <w:drawing>
          <wp:inline distT="0" distB="0" distL="114300" distR="114300">
            <wp:extent cx="5274310" cy="18961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896110"/>
                    </a:xfrm>
                    <a:prstGeom prst="rect">
                      <a:avLst/>
                    </a:prstGeom>
                    <a:noFill/>
                    <a:ln>
                      <a:noFill/>
                    </a:ln>
                  </pic:spPr>
                </pic:pic>
              </a:graphicData>
            </a:graphic>
          </wp:inline>
        </w:drawing>
      </w:r>
    </w:p>
    <w:p>
      <w:pPr>
        <w:pStyle w:val="2"/>
        <w:numPr>
          <w:ilvl w:val="0"/>
          <w:numId w:val="3"/>
        </w:numPr>
        <w:rPr>
          <w:rFonts w:ascii="宋体" w:hAnsi="宋体" w:cs="宋体"/>
        </w:rPr>
      </w:pPr>
      <w:r>
        <w:rPr>
          <w:rFonts w:hint="eastAsia" w:ascii="宋体" w:hAnsi="宋体" w:cs="宋体"/>
        </w:rPr>
        <w:t>跳转页面后，可以进行报价操作。单个加密报价，选择相应产品，填写价格后，点击【加密报价】，点击【确定】，填写CA口令后点击【确认】，即可加密报价。批量加密报价，需要勾选产品后进行以上操作。</w:t>
      </w:r>
    </w:p>
    <w:p>
      <w:pPr>
        <w:pStyle w:val="2"/>
        <w:tabs>
          <w:tab w:val="left" w:pos="312"/>
        </w:tabs>
        <w:ind w:firstLine="0"/>
        <w:rPr>
          <w:rFonts w:hint="eastAsia" w:ascii="宋体" w:hAnsi="宋体" w:cs="宋体"/>
          <w:b/>
          <w:bCs/>
          <w:color w:val="FF0000"/>
          <w:highlight w:val="yellow"/>
        </w:rPr>
      </w:pPr>
      <w:r>
        <w:rPr>
          <w:rFonts w:ascii="宋体" w:hAnsi="宋体" w:cs="宋体"/>
        </w:rPr>
        <w:tab/>
      </w:r>
      <w:r>
        <w:rPr>
          <w:rFonts w:hint="eastAsia" w:ascii="宋体" w:hAnsi="宋体" w:cs="宋体"/>
          <w:b/>
          <w:bCs/>
          <w:color w:val="FF0000"/>
          <w:highlight w:val="yellow"/>
        </w:rPr>
        <w:t>注意：产品不得高于</w:t>
      </w:r>
      <w:r>
        <w:rPr>
          <w:rFonts w:hint="eastAsia" w:ascii="宋体" w:hAnsi="宋体" w:cs="宋体"/>
          <w:b/>
          <w:bCs/>
          <w:color w:val="FF0000"/>
          <w:highlight w:val="yellow"/>
          <w:lang w:eastAsia="zh-CN"/>
        </w:rPr>
        <w:t>有效申报价</w:t>
      </w:r>
      <w:r>
        <w:rPr>
          <w:rFonts w:hint="eastAsia" w:ascii="宋体" w:hAnsi="宋体" w:cs="宋体"/>
          <w:b/>
          <w:bCs/>
          <w:color w:val="FF0000"/>
          <w:highlight w:val="yellow"/>
        </w:rPr>
        <w:t>，同一企业</w:t>
      </w:r>
      <w:r>
        <w:rPr>
          <w:rFonts w:hint="eastAsia" w:ascii="宋体" w:hAnsi="宋体" w:cs="宋体"/>
          <w:b/>
          <w:bCs/>
          <w:color w:val="FF0000"/>
          <w:highlight w:val="yellow"/>
          <w:lang w:eastAsia="zh-CN"/>
        </w:rPr>
        <w:t>同一包装材质</w:t>
      </w:r>
      <w:r>
        <w:rPr>
          <w:rFonts w:hint="eastAsia" w:ascii="宋体" w:hAnsi="宋体" w:cs="宋体"/>
          <w:b/>
          <w:bCs/>
          <w:color w:val="FF0000"/>
          <w:highlight w:val="yellow"/>
        </w:rPr>
        <w:t>对容量超过20ml的</w:t>
      </w:r>
      <w:r>
        <w:rPr>
          <w:rFonts w:hint="eastAsia" w:ascii="宋体" w:hAnsi="宋体" w:cs="宋体"/>
          <w:b/>
          <w:bCs/>
          <w:color w:val="FF0000"/>
          <w:highlight w:val="yellow"/>
          <w:lang w:eastAsia="zh-CN"/>
        </w:rPr>
        <w:t>产品</w:t>
      </w:r>
      <w:r>
        <w:rPr>
          <w:rFonts w:hint="eastAsia" w:ascii="宋体" w:hAnsi="宋体" w:cs="宋体"/>
          <w:b/>
          <w:bCs/>
          <w:color w:val="FF0000"/>
          <w:highlight w:val="yellow"/>
        </w:rPr>
        <w:t>要求低容量的报价不得高于高容量的报价。（报价保留2位小数</w:t>
      </w:r>
      <w:r>
        <w:rPr>
          <w:rFonts w:hint="eastAsia" w:ascii="宋体" w:hAnsi="宋体" w:cs="宋体"/>
          <w:b/>
          <w:bCs/>
          <w:color w:val="FF0000"/>
          <w:highlight w:val="yellow"/>
          <w:lang w:eastAsia="zh-CN"/>
        </w:rPr>
        <w:t>，单位</w:t>
      </w:r>
      <w:r>
        <w:rPr>
          <w:rFonts w:hint="eastAsia" w:ascii="宋体" w:hAnsi="宋体" w:cs="宋体"/>
          <w:b/>
          <w:bCs/>
          <w:color w:val="FF0000"/>
          <w:highlight w:val="yellow"/>
          <w:lang w:val="en-US" w:eastAsia="zh-CN"/>
        </w:rPr>
        <w:t>/元</w:t>
      </w:r>
      <w:r>
        <w:rPr>
          <w:rFonts w:hint="eastAsia" w:ascii="宋体" w:hAnsi="宋体" w:cs="宋体"/>
          <w:b/>
          <w:bCs/>
          <w:color w:val="FF0000"/>
          <w:highlight w:val="yellow"/>
        </w:rPr>
        <w:t>）。此时需要插入CA签章才可进行报价加密操作。</w:t>
      </w:r>
    </w:p>
    <w:p>
      <w:pPr>
        <w:pStyle w:val="2"/>
        <w:ind w:firstLine="0"/>
        <w:rPr>
          <w:rFonts w:hint="eastAsia" w:ascii="宋体" w:hAnsi="宋体" w:cs="宋体"/>
        </w:rPr>
      </w:pPr>
      <w:r>
        <w:rPr>
          <w:rFonts w:ascii="宋体" w:hAnsi="宋体"/>
        </w:rPr>
        <w:drawing>
          <wp:inline distT="0" distB="0" distL="114300" distR="114300">
            <wp:extent cx="5261610" cy="1911350"/>
            <wp:effectExtent l="0" t="0" r="1524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1610" cy="1911350"/>
                    </a:xfrm>
                    <a:prstGeom prst="rect">
                      <a:avLst/>
                    </a:prstGeom>
                    <a:noFill/>
                    <a:ln>
                      <a:noFill/>
                    </a:ln>
                  </pic:spPr>
                </pic:pic>
              </a:graphicData>
            </a:graphic>
          </wp:inline>
        </w:drawing>
      </w:r>
    </w:p>
    <w:p>
      <w:pPr>
        <w:pStyle w:val="2"/>
        <w:ind w:firstLine="0"/>
        <w:rPr>
          <w:rFonts w:ascii="宋体" w:hAnsi="宋体"/>
        </w:rPr>
      </w:pPr>
      <w:r>
        <w:rPr>
          <w:rFonts w:ascii="宋体" w:hAnsi="宋体"/>
        </w:rPr>
        <w:drawing>
          <wp:inline distT="0" distB="0" distL="114300" distR="114300">
            <wp:extent cx="5271135" cy="1122045"/>
            <wp:effectExtent l="0" t="0" r="571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1135" cy="1122045"/>
                    </a:xfrm>
                    <a:prstGeom prst="rect">
                      <a:avLst/>
                    </a:prstGeom>
                    <a:noFill/>
                    <a:ln>
                      <a:noFill/>
                    </a:ln>
                  </pic:spPr>
                </pic:pic>
              </a:graphicData>
            </a:graphic>
          </wp:inline>
        </w:drawing>
      </w:r>
    </w:p>
    <w:p>
      <w:pPr>
        <w:pStyle w:val="2"/>
        <w:numPr>
          <w:ilvl w:val="0"/>
          <w:numId w:val="3"/>
        </w:numPr>
        <w:rPr>
          <w:rFonts w:ascii="宋体" w:hAnsi="宋体"/>
        </w:rPr>
      </w:pPr>
      <w:r>
        <w:rPr>
          <w:rFonts w:hint="eastAsia" w:ascii="宋体" w:hAnsi="宋体" w:cs="宋体"/>
        </w:rPr>
        <w:t>选择相应产品，点击【清空报价】按钮，填写CA口令后点击【确认】，即可清空报价。</w:t>
      </w:r>
    </w:p>
    <w:p>
      <w:pPr>
        <w:pStyle w:val="2"/>
        <w:ind w:firstLine="0"/>
        <w:rPr>
          <w:rFonts w:hint="eastAsia" w:ascii="宋体" w:hAnsi="宋体"/>
        </w:rPr>
      </w:pPr>
      <w:r>
        <w:rPr>
          <w:rFonts w:ascii="宋体" w:hAnsi="宋体"/>
        </w:rPr>
        <w:drawing>
          <wp:inline distT="0" distB="0" distL="114300" distR="114300">
            <wp:extent cx="5264785" cy="1845945"/>
            <wp:effectExtent l="0" t="0" r="1206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64785" cy="1845945"/>
                    </a:xfrm>
                    <a:prstGeom prst="rect">
                      <a:avLst/>
                    </a:prstGeom>
                    <a:noFill/>
                    <a:ln>
                      <a:noFill/>
                    </a:ln>
                  </pic:spPr>
                </pic:pic>
              </a:graphicData>
            </a:graphic>
          </wp:inline>
        </w:drawing>
      </w:r>
    </w:p>
    <w:p>
      <w:pPr>
        <w:pStyle w:val="2"/>
        <w:numPr>
          <w:ilvl w:val="0"/>
          <w:numId w:val="3"/>
        </w:numPr>
        <w:rPr>
          <w:rFonts w:ascii="宋体" w:hAnsi="宋体"/>
        </w:rPr>
      </w:pPr>
      <w:r>
        <w:rPr>
          <w:rFonts w:hint="eastAsia" w:ascii="宋体" w:hAnsi="宋体" w:cs="宋体"/>
        </w:rPr>
        <w:t>选择相应产品，点击【查看】，可以进行报价查看操作。填写CA口令后点击【确认】，即可查看报价信息。</w:t>
      </w:r>
    </w:p>
    <w:p>
      <w:pPr>
        <w:pStyle w:val="2"/>
        <w:ind w:firstLine="0"/>
        <w:rPr>
          <w:rFonts w:ascii="宋体" w:hAnsi="宋体"/>
        </w:rPr>
      </w:pPr>
      <w:r>
        <w:rPr>
          <w:rFonts w:ascii="宋体" w:hAnsi="宋体"/>
        </w:rPr>
        <w:drawing>
          <wp:inline distT="0" distB="0" distL="114300" distR="114300">
            <wp:extent cx="5271135" cy="188595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1135" cy="1885950"/>
                    </a:xfrm>
                    <a:prstGeom prst="rect">
                      <a:avLst/>
                    </a:prstGeom>
                    <a:noFill/>
                    <a:ln>
                      <a:noFill/>
                    </a:ln>
                  </pic:spPr>
                </pic:pic>
              </a:graphicData>
            </a:graphic>
          </wp:inline>
        </w:drawing>
      </w:r>
    </w:p>
    <w:p>
      <w:pPr>
        <w:pStyle w:val="2"/>
        <w:numPr>
          <w:ilvl w:val="0"/>
          <w:numId w:val="3"/>
        </w:numPr>
        <w:rPr>
          <w:rFonts w:ascii="宋体" w:hAnsi="宋体"/>
        </w:rPr>
      </w:pPr>
      <w:r>
        <w:rPr>
          <w:rFonts w:hint="eastAsia" w:ascii="宋体" w:hAnsi="宋体" w:cs="宋体"/>
        </w:rPr>
        <w:t>报价完成确认无误后，点击【提交】按钮，将报价数据提交操作。</w:t>
      </w:r>
    </w:p>
    <w:p>
      <w:pPr>
        <w:pStyle w:val="2"/>
        <w:ind w:firstLine="0"/>
        <w:rPr>
          <w:rFonts w:ascii="宋体" w:hAnsi="宋体"/>
        </w:rPr>
      </w:pPr>
      <w:r>
        <w:rPr>
          <w:rFonts w:ascii="宋体" w:hAnsi="宋体"/>
        </w:rPr>
        <w:drawing>
          <wp:inline distT="0" distB="0" distL="114300" distR="114300">
            <wp:extent cx="5267960" cy="1760855"/>
            <wp:effectExtent l="0" t="0" r="889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67960" cy="1760855"/>
                    </a:xfrm>
                    <a:prstGeom prst="rect">
                      <a:avLst/>
                    </a:prstGeom>
                    <a:noFill/>
                    <a:ln>
                      <a:noFill/>
                    </a:ln>
                  </pic:spPr>
                </pic:pic>
              </a:graphicData>
            </a:graphic>
          </wp:inline>
        </w:drawing>
      </w:r>
    </w:p>
    <w:p>
      <w:pPr>
        <w:pStyle w:val="2"/>
        <w:numPr>
          <w:ilvl w:val="0"/>
          <w:numId w:val="3"/>
        </w:numPr>
        <w:rPr>
          <w:rFonts w:ascii="宋体" w:hAnsi="宋体"/>
        </w:rPr>
      </w:pPr>
      <w:r>
        <w:rPr>
          <w:rFonts w:hint="eastAsia" w:ascii="宋体" w:hAnsi="宋体" w:cs="宋体"/>
        </w:rPr>
        <w:t>提交后，在报价时间范围内也可点击【撤回】按钮，修改报价数据后重新提交。。</w:t>
      </w:r>
    </w:p>
    <w:p>
      <w:pPr>
        <w:pStyle w:val="2"/>
        <w:ind w:firstLine="0"/>
        <w:rPr>
          <w:rFonts w:ascii="宋体" w:hAnsi="宋体"/>
        </w:rPr>
      </w:pPr>
      <w:r>
        <w:rPr>
          <w:rFonts w:ascii="宋体" w:hAnsi="宋体"/>
        </w:rPr>
        <w:drawing>
          <wp:inline distT="0" distB="0" distL="114300" distR="114300">
            <wp:extent cx="5264785" cy="1618615"/>
            <wp:effectExtent l="0" t="0" r="12065"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5264785" cy="1618615"/>
                    </a:xfrm>
                    <a:prstGeom prst="rect">
                      <a:avLst/>
                    </a:prstGeom>
                    <a:noFill/>
                    <a:ln>
                      <a:noFill/>
                    </a:ln>
                  </pic:spPr>
                </pic:pic>
              </a:graphicData>
            </a:graphic>
          </wp:inline>
        </w:drawing>
      </w:r>
    </w:p>
    <w:p>
      <w:pPr>
        <w:pStyle w:val="6"/>
        <w:rPr>
          <w:rFonts w:hint="eastAsia" w:ascii="宋体" w:hAnsi="宋体"/>
        </w:rPr>
      </w:pPr>
      <w:bookmarkStart w:id="60" w:name="_Toc180274525"/>
      <w:r>
        <w:rPr>
          <w:rFonts w:hint="eastAsia" w:ascii="宋体" w:hAnsi="宋体"/>
        </w:rPr>
        <w:t>（三）报价解密</w:t>
      </w:r>
      <w:bookmarkEnd w:id="60"/>
    </w:p>
    <w:p>
      <w:pPr>
        <w:pStyle w:val="2"/>
        <w:tabs>
          <w:tab w:val="left" w:pos="312"/>
        </w:tabs>
        <w:ind w:firstLine="0"/>
        <w:rPr>
          <w:rFonts w:ascii="宋体" w:hAnsi="宋体"/>
        </w:rPr>
      </w:pPr>
      <w:r>
        <w:rPr>
          <w:rFonts w:ascii="宋体" w:hAnsi="宋体" w:cs="宋体"/>
        </w:rPr>
        <w:tab/>
      </w:r>
      <w:r>
        <w:rPr>
          <w:rFonts w:hint="eastAsia" w:ascii="宋体" w:hAnsi="宋体" w:cs="宋体"/>
        </w:rPr>
        <w:t>1.确认开始解密时间范围内，点击【整体解密】。填写CA口令后点击【确认】按钮，页面显示明文报价信息后，解密报价成功。</w:t>
      </w:r>
    </w:p>
    <w:p>
      <w:pPr>
        <w:pStyle w:val="2"/>
        <w:ind w:firstLine="0"/>
        <w:rPr>
          <w:rFonts w:ascii="宋体" w:hAnsi="宋体"/>
        </w:rPr>
      </w:pPr>
      <w:r>
        <w:rPr>
          <w:rFonts w:ascii="宋体" w:hAnsi="宋体"/>
        </w:rPr>
        <w:drawing>
          <wp:inline distT="0" distB="0" distL="114300" distR="114300">
            <wp:extent cx="5274310" cy="1745615"/>
            <wp:effectExtent l="0" t="0" r="2540" b="698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5274310" cy="1745615"/>
                    </a:xfrm>
                    <a:prstGeom prst="rect">
                      <a:avLst/>
                    </a:prstGeom>
                    <a:noFill/>
                    <a:ln>
                      <a:noFill/>
                    </a:ln>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Light">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Garamond">
    <w:altName w:val="FreeSerif"/>
    <w:panose1 w:val="02020404030301010803"/>
    <w:charset w:val="00"/>
    <w:family w:val="roman"/>
    <w:pitch w:val="default"/>
    <w:sig w:usb0="00000000" w:usb1="00000000" w:usb2="00000000" w:usb3="00000000" w:csb0="0000009F" w:csb1="00000000"/>
  </w:font>
  <w:font w:name="FreeSerif">
    <w:panose1 w:val="02020603050405020304"/>
    <w:charset w:val="00"/>
    <w:family w:val="auto"/>
    <w:pitch w:val="default"/>
    <w:sig w:usb0="E59FAFFF" w:usb1="C200FDFF" w:usb2="43501B29" w:usb3="04000043" w:csb0="600101FF" w:csb1="FFFF0000"/>
  </w:font>
  <w:font w:name="等线">
    <w:altName w:val="汉仪中宋简"/>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Liberation Serif">
    <w:panose1 w:val="02020603050405020304"/>
    <w:charset w:val="00"/>
    <w:family w:val="auto"/>
    <w:pitch w:val="default"/>
    <w:sig w:usb0="A00002AF" w:usb1="500078FB" w:usb2="00000000" w:usb3="00000000" w:csb0="6000009F" w:csb1="DFD7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5355"/>
      </w:tabs>
    </w:pPr>
    <w:r>
      <w:tab/>
    </w:r>
    <w:r>
      <w:rPr>
        <w:rFonts w:hint="eastAsia"/>
      </w:rPr>
      <w:t xml:space="preserve">第 </w:t>
    </w:r>
    <w:sdt>
      <w:sdtPr>
        <w:id w:val="-1"/>
      </w:sdtPr>
      <w:sdtContent>
        <w:r>
          <w:fldChar w:fldCharType="begin"/>
        </w:r>
        <w:r>
          <w:instrText xml:space="preserve">PAGE   \* MERGEFORMAT</w:instrText>
        </w:r>
        <w:r>
          <w:fldChar w:fldCharType="separate"/>
        </w:r>
        <w:r>
          <w:rPr>
            <w:lang w:val="zh-CN"/>
          </w:rPr>
          <w:t>2</w:t>
        </w:r>
        <w:r>
          <w:fldChar w:fldCharType="end"/>
        </w:r>
        <w:r>
          <w:rPr>
            <w:rFonts w:hint="eastAsia"/>
          </w:rPr>
          <w:t xml:space="preserve"> 页 共 8 页</w:t>
        </w:r>
      </w:sdtContent>
    </w:sdt>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659DCD"/>
    <w:multiLevelType w:val="singleLevel"/>
    <w:tmpl w:val="E0659DCD"/>
    <w:lvl w:ilvl="0" w:tentative="0">
      <w:start w:val="2"/>
      <w:numFmt w:val="decimal"/>
      <w:suff w:val="space"/>
      <w:lvlText w:val="%1."/>
      <w:lvlJc w:val="left"/>
      <w:pPr>
        <w:ind w:left="420" w:firstLine="0"/>
      </w:pPr>
    </w:lvl>
  </w:abstractNum>
  <w:abstractNum w:abstractNumId="1">
    <w:nsid w:val="108DCA14"/>
    <w:multiLevelType w:val="multilevel"/>
    <w:tmpl w:val="108DCA14"/>
    <w:lvl w:ilvl="0" w:tentative="0">
      <w:start w:val="1"/>
      <w:numFmt w:val="chineseCounting"/>
      <w:suff w:val="nothing"/>
      <w:lvlText w:val="%1、"/>
      <w:lvlJc w:val="left"/>
      <w:pPr>
        <w:tabs>
          <w:tab w:val="left" w:pos="0"/>
        </w:tabs>
        <w:ind w:left="0" w:firstLine="400"/>
      </w:pPr>
      <w:rPr>
        <w:rFonts w:hint="eastAsia" w:ascii="宋体" w:hAnsi="宋体" w:eastAsia="宋体" w:cs="宋体"/>
      </w:rPr>
    </w:lvl>
    <w:lvl w:ilvl="1" w:tentative="0">
      <w:start w:val="1"/>
      <w:numFmt w:val="decimal"/>
      <w:suff w:val="nothing"/>
      <w:lvlText w:val="%2．"/>
      <w:lvlJc w:val="left"/>
      <w:pPr>
        <w:ind w:left="0" w:firstLine="400"/>
      </w:pPr>
      <w:rPr>
        <w:rFonts w:hint="eastAsia" w:ascii="宋体" w:hAnsi="宋体" w:eastAsia="宋体" w:cs="宋体"/>
      </w:rPr>
    </w:lvl>
    <w:lvl w:ilvl="2" w:tentative="0">
      <w:start w:val="1"/>
      <w:numFmt w:val="decimal"/>
      <w:suff w:val="nothing"/>
      <w:lvlText w:val="1.%3"/>
      <w:lvlJc w:val="left"/>
      <w:pPr>
        <w:ind w:left="0" w:firstLine="402"/>
      </w:pPr>
      <w:rPr>
        <w:rFonts w:hint="eastAsia" w:ascii="宋体" w:hAnsi="宋体" w:eastAsia="宋体" w:cs="宋体"/>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
    <w:nsid w:val="5CEAF8F6"/>
    <w:multiLevelType w:val="singleLevel"/>
    <w:tmpl w:val="5CEAF8F6"/>
    <w:lvl w:ilvl="0" w:tentative="0">
      <w:start w:val="3"/>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ZiNDFhZTQ2ZDdhYTY2NGQwYzlkMTUxYTM4MDE4MGYifQ=="/>
  </w:docVars>
  <w:rsids>
    <w:rsidRoot w:val="00544081"/>
    <w:rsid w:val="00044F6F"/>
    <w:rsid w:val="000927E1"/>
    <w:rsid w:val="00111C10"/>
    <w:rsid w:val="00112297"/>
    <w:rsid w:val="0011775F"/>
    <w:rsid w:val="001A6712"/>
    <w:rsid w:val="001A7298"/>
    <w:rsid w:val="001C31B6"/>
    <w:rsid w:val="001C52CF"/>
    <w:rsid w:val="001C5E04"/>
    <w:rsid w:val="001E3A06"/>
    <w:rsid w:val="001F111D"/>
    <w:rsid w:val="00202A11"/>
    <w:rsid w:val="00220211"/>
    <w:rsid w:val="0027620F"/>
    <w:rsid w:val="00280110"/>
    <w:rsid w:val="00283A2F"/>
    <w:rsid w:val="002A1097"/>
    <w:rsid w:val="002A17C2"/>
    <w:rsid w:val="002E52E8"/>
    <w:rsid w:val="002F665B"/>
    <w:rsid w:val="0033137C"/>
    <w:rsid w:val="00350409"/>
    <w:rsid w:val="0039419C"/>
    <w:rsid w:val="003A7E19"/>
    <w:rsid w:val="003D628F"/>
    <w:rsid w:val="003E3E81"/>
    <w:rsid w:val="0040652A"/>
    <w:rsid w:val="004453E3"/>
    <w:rsid w:val="00453995"/>
    <w:rsid w:val="004609A7"/>
    <w:rsid w:val="004655CE"/>
    <w:rsid w:val="00465A58"/>
    <w:rsid w:val="004B293A"/>
    <w:rsid w:val="004B5E73"/>
    <w:rsid w:val="004D679D"/>
    <w:rsid w:val="004E35A9"/>
    <w:rsid w:val="00505987"/>
    <w:rsid w:val="005069C3"/>
    <w:rsid w:val="00523D13"/>
    <w:rsid w:val="00525AD9"/>
    <w:rsid w:val="005341CF"/>
    <w:rsid w:val="00535BF4"/>
    <w:rsid w:val="00544081"/>
    <w:rsid w:val="00581689"/>
    <w:rsid w:val="005B69EA"/>
    <w:rsid w:val="005D79F6"/>
    <w:rsid w:val="005F550F"/>
    <w:rsid w:val="00607425"/>
    <w:rsid w:val="00633A91"/>
    <w:rsid w:val="00642AE9"/>
    <w:rsid w:val="00694156"/>
    <w:rsid w:val="006E3C8C"/>
    <w:rsid w:val="006F1B66"/>
    <w:rsid w:val="006F7AD1"/>
    <w:rsid w:val="006F7F7A"/>
    <w:rsid w:val="00732B61"/>
    <w:rsid w:val="007404B0"/>
    <w:rsid w:val="00752586"/>
    <w:rsid w:val="00764E1B"/>
    <w:rsid w:val="00782DD9"/>
    <w:rsid w:val="0078537E"/>
    <w:rsid w:val="00795577"/>
    <w:rsid w:val="007D2B98"/>
    <w:rsid w:val="00834C1C"/>
    <w:rsid w:val="008424A0"/>
    <w:rsid w:val="00843F67"/>
    <w:rsid w:val="00851C7F"/>
    <w:rsid w:val="00853AC6"/>
    <w:rsid w:val="00891417"/>
    <w:rsid w:val="008D3D81"/>
    <w:rsid w:val="008E2385"/>
    <w:rsid w:val="008F7C90"/>
    <w:rsid w:val="00904FCA"/>
    <w:rsid w:val="00907416"/>
    <w:rsid w:val="00910912"/>
    <w:rsid w:val="0093092C"/>
    <w:rsid w:val="00957A91"/>
    <w:rsid w:val="009B21AE"/>
    <w:rsid w:val="009B404C"/>
    <w:rsid w:val="009C445E"/>
    <w:rsid w:val="009D7DE9"/>
    <w:rsid w:val="009F2169"/>
    <w:rsid w:val="009F657F"/>
    <w:rsid w:val="00A36A5D"/>
    <w:rsid w:val="00A867BA"/>
    <w:rsid w:val="00AA0D18"/>
    <w:rsid w:val="00AD505D"/>
    <w:rsid w:val="00AF2BA2"/>
    <w:rsid w:val="00B01FDE"/>
    <w:rsid w:val="00B124EB"/>
    <w:rsid w:val="00B16FD5"/>
    <w:rsid w:val="00BE5913"/>
    <w:rsid w:val="00BF1165"/>
    <w:rsid w:val="00C32E4D"/>
    <w:rsid w:val="00C60A59"/>
    <w:rsid w:val="00C7492C"/>
    <w:rsid w:val="00C74FAF"/>
    <w:rsid w:val="00CB3D54"/>
    <w:rsid w:val="00CB7904"/>
    <w:rsid w:val="00CC625F"/>
    <w:rsid w:val="00CE0337"/>
    <w:rsid w:val="00CF0560"/>
    <w:rsid w:val="00CF32FA"/>
    <w:rsid w:val="00D03407"/>
    <w:rsid w:val="00D177C8"/>
    <w:rsid w:val="00D56486"/>
    <w:rsid w:val="00D647CF"/>
    <w:rsid w:val="00D80F53"/>
    <w:rsid w:val="00D91D0E"/>
    <w:rsid w:val="00D94A2D"/>
    <w:rsid w:val="00D954B7"/>
    <w:rsid w:val="00DA6F3F"/>
    <w:rsid w:val="00DB10A1"/>
    <w:rsid w:val="00DD689C"/>
    <w:rsid w:val="00DE6DE1"/>
    <w:rsid w:val="00E87669"/>
    <w:rsid w:val="00E96ABC"/>
    <w:rsid w:val="00EA43A0"/>
    <w:rsid w:val="00EA4E12"/>
    <w:rsid w:val="00EB27B6"/>
    <w:rsid w:val="00ED1ED0"/>
    <w:rsid w:val="00F078DE"/>
    <w:rsid w:val="00F81B7A"/>
    <w:rsid w:val="00FA4989"/>
    <w:rsid w:val="00FC0A3E"/>
    <w:rsid w:val="00FC36A3"/>
    <w:rsid w:val="00FD08F5"/>
    <w:rsid w:val="00FE5758"/>
    <w:rsid w:val="0949606C"/>
    <w:rsid w:val="16D76A65"/>
    <w:rsid w:val="1ADA2FC8"/>
    <w:rsid w:val="1B6A0030"/>
    <w:rsid w:val="208C080D"/>
    <w:rsid w:val="25C1725E"/>
    <w:rsid w:val="28EA6ACC"/>
    <w:rsid w:val="34EC7728"/>
    <w:rsid w:val="3FFF4D20"/>
    <w:rsid w:val="40A9471F"/>
    <w:rsid w:val="456C4C74"/>
    <w:rsid w:val="49F79EC2"/>
    <w:rsid w:val="527168E7"/>
    <w:rsid w:val="52C378C2"/>
    <w:rsid w:val="54E51D72"/>
    <w:rsid w:val="54F71AA5"/>
    <w:rsid w:val="61BF1B9C"/>
    <w:rsid w:val="662E2E36"/>
    <w:rsid w:val="66B27F22"/>
    <w:rsid w:val="67180666"/>
    <w:rsid w:val="69436686"/>
    <w:rsid w:val="6D954468"/>
    <w:rsid w:val="6E0A356E"/>
    <w:rsid w:val="6E313E22"/>
    <w:rsid w:val="7AC13CF3"/>
    <w:rsid w:val="7E9E696A"/>
    <w:rsid w:val="D95F3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7"/>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5">
    <w:name w:val="heading 2"/>
    <w:basedOn w:val="1"/>
    <w:next w:val="1"/>
    <w:link w:val="28"/>
    <w:unhideWhenUsed/>
    <w:qFormat/>
    <w:uiPriority w:val="0"/>
    <w:pPr>
      <w:spacing w:before="160" w:after="80"/>
      <w:outlineLvl w:val="1"/>
    </w:pPr>
    <w:rPr>
      <w:rFonts w:asciiTheme="majorHAnsi" w:hAnsiTheme="majorHAnsi" w:cstheme="majorBidi"/>
      <w:b/>
      <w:sz w:val="40"/>
      <w:szCs w:val="40"/>
    </w:rPr>
  </w:style>
  <w:style w:type="paragraph" w:styleId="6">
    <w:name w:val="heading 3"/>
    <w:basedOn w:val="1"/>
    <w:next w:val="1"/>
    <w:link w:val="29"/>
    <w:unhideWhenUsed/>
    <w:qFormat/>
    <w:uiPriority w:val="0"/>
    <w:pPr>
      <w:spacing w:before="160" w:after="80"/>
      <w:outlineLvl w:val="2"/>
    </w:pPr>
    <w:rPr>
      <w:rFonts w:asciiTheme="majorHAnsi" w:hAnsiTheme="majorHAnsi" w:cstheme="majorBidi"/>
      <w:b/>
      <w:sz w:val="32"/>
      <w:szCs w:val="32"/>
    </w:rPr>
  </w:style>
  <w:style w:type="paragraph" w:styleId="7">
    <w:name w:val="heading 4"/>
    <w:basedOn w:val="1"/>
    <w:next w:val="1"/>
    <w:link w:val="3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8">
    <w:name w:val="heading 5"/>
    <w:basedOn w:val="1"/>
    <w:next w:val="1"/>
    <w:link w:val="31"/>
    <w:semiHidden/>
    <w:unhideWhenUsed/>
    <w:qFormat/>
    <w:uiPriority w:val="9"/>
    <w:pPr>
      <w:keepNext/>
      <w:keepLines/>
      <w:spacing w:before="80" w:after="40"/>
      <w:outlineLvl w:val="4"/>
    </w:pPr>
    <w:rPr>
      <w:rFonts w:cstheme="majorBidi"/>
      <w:color w:val="2F5597" w:themeColor="accent1" w:themeShade="BF"/>
      <w:sz w:val="24"/>
    </w:rPr>
  </w:style>
  <w:style w:type="paragraph" w:styleId="9">
    <w:name w:val="heading 6"/>
    <w:basedOn w:val="1"/>
    <w:next w:val="1"/>
    <w:link w:val="32"/>
    <w:semiHidden/>
    <w:unhideWhenUsed/>
    <w:qFormat/>
    <w:uiPriority w:val="9"/>
    <w:pPr>
      <w:keepNext/>
      <w:keepLines/>
      <w:spacing w:before="40"/>
      <w:outlineLvl w:val="5"/>
    </w:pPr>
    <w:rPr>
      <w:rFonts w:cstheme="majorBidi"/>
      <w:b/>
      <w:bCs/>
      <w:color w:val="2F5597" w:themeColor="accent1" w:themeShade="BF"/>
    </w:rPr>
  </w:style>
  <w:style w:type="paragraph" w:styleId="10">
    <w:name w:val="heading 7"/>
    <w:basedOn w:val="1"/>
    <w:next w:val="1"/>
    <w:link w:val="3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3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3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46"/>
    <w:qFormat/>
    <w:uiPriority w:val="0"/>
    <w:pPr>
      <w:adjustRightInd w:val="0"/>
      <w:spacing w:line="312" w:lineRule="atLeast"/>
      <w:ind w:firstLine="420"/>
    </w:pPr>
    <w:rPr>
      <w:kern w:val="0"/>
      <w:sz w:val="24"/>
    </w:rPr>
  </w:style>
  <w:style w:type="paragraph" w:styleId="3">
    <w:name w:val="Body Text"/>
    <w:basedOn w:val="1"/>
    <w:link w:val="45"/>
    <w:unhideWhenUsed/>
    <w:qFormat/>
    <w:uiPriority w:val="0"/>
    <w:pPr>
      <w:spacing w:after="120"/>
    </w:pPr>
  </w:style>
  <w:style w:type="paragraph" w:styleId="13">
    <w:name w:val="Normal Indent"/>
    <w:basedOn w:val="1"/>
    <w:qFormat/>
    <w:uiPriority w:val="0"/>
    <w:pPr>
      <w:widowControl/>
      <w:spacing w:line="400" w:lineRule="atLeast"/>
      <w:ind w:firstLine="420"/>
    </w:pPr>
    <w:rPr>
      <w:rFonts w:hint="eastAsia" w:ascii="宋体" w:hAnsi="Garamond"/>
      <w:color w:val="000000"/>
      <w:kern w:val="0"/>
      <w:sz w:val="24"/>
    </w:rPr>
  </w:style>
  <w:style w:type="paragraph" w:styleId="14">
    <w:name w:val="caption"/>
    <w:basedOn w:val="1"/>
    <w:next w:val="1"/>
    <w:qFormat/>
    <w:uiPriority w:val="35"/>
    <w:pPr>
      <w:jc w:val="center"/>
    </w:pPr>
    <w:rPr>
      <w:rFonts w:eastAsia="黑体"/>
      <w:szCs w:val="22"/>
    </w:rPr>
  </w:style>
  <w:style w:type="paragraph" w:styleId="15">
    <w:name w:val="toc 3"/>
    <w:basedOn w:val="1"/>
    <w:next w:val="1"/>
    <w:qFormat/>
    <w:uiPriority w:val="39"/>
    <w:pPr>
      <w:ind w:left="840" w:leftChars="400"/>
    </w:pPr>
  </w:style>
  <w:style w:type="paragraph" w:styleId="16">
    <w:name w:val="Plain Text"/>
    <w:basedOn w:val="1"/>
    <w:link w:val="47"/>
    <w:qFormat/>
    <w:uiPriority w:val="0"/>
    <w:rPr>
      <w:rFonts w:hAnsi="Courier New"/>
    </w:rPr>
  </w:style>
  <w:style w:type="paragraph" w:styleId="17">
    <w:name w:val="footer"/>
    <w:basedOn w:val="1"/>
    <w:link w:val="26"/>
    <w:unhideWhenUsed/>
    <w:qFormat/>
    <w:uiPriority w:val="99"/>
    <w:pPr>
      <w:tabs>
        <w:tab w:val="center" w:pos="4153"/>
        <w:tab w:val="right" w:pos="8306"/>
      </w:tabs>
      <w:snapToGrid w:val="0"/>
      <w:jc w:val="left"/>
    </w:pPr>
    <w:rPr>
      <w:sz w:val="18"/>
      <w:szCs w:val="18"/>
    </w:rPr>
  </w:style>
  <w:style w:type="paragraph" w:styleId="18">
    <w:name w:val="header"/>
    <w:basedOn w:val="1"/>
    <w:link w:val="25"/>
    <w:unhideWhenUsed/>
    <w:qFormat/>
    <w:uiPriority w:val="99"/>
    <w:pPr>
      <w:tabs>
        <w:tab w:val="center" w:pos="4153"/>
        <w:tab w:val="right" w:pos="8306"/>
      </w:tabs>
      <w:snapToGrid w:val="0"/>
      <w:jc w:val="center"/>
    </w:pPr>
    <w:rPr>
      <w:sz w:val="18"/>
      <w:szCs w:val="18"/>
    </w:rPr>
  </w:style>
  <w:style w:type="paragraph" w:styleId="19">
    <w:name w:val="Subtitle"/>
    <w:basedOn w:val="1"/>
    <w:next w:val="1"/>
    <w:link w:val="37"/>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oc 2"/>
    <w:basedOn w:val="1"/>
    <w:next w:val="1"/>
    <w:qFormat/>
    <w:uiPriority w:val="39"/>
    <w:pPr>
      <w:ind w:left="420" w:leftChars="200"/>
    </w:pPr>
  </w:style>
  <w:style w:type="paragraph" w:styleId="21">
    <w:name w:val="Title"/>
    <w:basedOn w:val="1"/>
    <w:next w:val="1"/>
    <w:link w:val="3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customStyle="1" w:styleId="25">
    <w:name w:val="页眉 字符"/>
    <w:basedOn w:val="23"/>
    <w:link w:val="18"/>
    <w:qFormat/>
    <w:uiPriority w:val="99"/>
    <w:rPr>
      <w:sz w:val="18"/>
      <w:szCs w:val="18"/>
    </w:rPr>
  </w:style>
  <w:style w:type="character" w:customStyle="1" w:styleId="26">
    <w:name w:val="页脚 字符"/>
    <w:basedOn w:val="23"/>
    <w:link w:val="17"/>
    <w:qFormat/>
    <w:uiPriority w:val="99"/>
    <w:rPr>
      <w:sz w:val="18"/>
      <w:szCs w:val="18"/>
    </w:rPr>
  </w:style>
  <w:style w:type="character" w:customStyle="1" w:styleId="27">
    <w:name w:val="标题 1 字符"/>
    <w:basedOn w:val="23"/>
    <w:link w:val="4"/>
    <w:qFormat/>
    <w:uiPriority w:val="9"/>
    <w:rPr>
      <w:rFonts w:asciiTheme="majorHAnsi" w:hAnsiTheme="majorHAnsi" w:eastAsiaTheme="majorEastAsia" w:cstheme="majorBidi"/>
      <w:color w:val="2F5597" w:themeColor="accent1" w:themeShade="BF"/>
      <w:sz w:val="48"/>
      <w:szCs w:val="48"/>
    </w:rPr>
  </w:style>
  <w:style w:type="character" w:customStyle="1" w:styleId="28">
    <w:name w:val="标题 2 字符"/>
    <w:basedOn w:val="23"/>
    <w:link w:val="5"/>
    <w:qFormat/>
    <w:uiPriority w:val="0"/>
    <w:rPr>
      <w:rFonts w:eastAsia="宋体" w:asciiTheme="majorHAnsi" w:hAnsiTheme="majorHAnsi" w:cstheme="majorBidi"/>
      <w:b/>
      <w:sz w:val="40"/>
      <w:szCs w:val="40"/>
    </w:rPr>
  </w:style>
  <w:style w:type="character" w:customStyle="1" w:styleId="29">
    <w:name w:val="标题 3 字符"/>
    <w:basedOn w:val="23"/>
    <w:link w:val="6"/>
    <w:qFormat/>
    <w:uiPriority w:val="0"/>
    <w:rPr>
      <w:rFonts w:eastAsia="宋体" w:asciiTheme="majorHAnsi" w:hAnsiTheme="majorHAnsi" w:cstheme="majorBidi"/>
      <w:b/>
      <w:sz w:val="32"/>
      <w:szCs w:val="32"/>
    </w:rPr>
  </w:style>
  <w:style w:type="character" w:customStyle="1" w:styleId="30">
    <w:name w:val="标题 4 字符"/>
    <w:basedOn w:val="23"/>
    <w:link w:val="7"/>
    <w:semiHidden/>
    <w:qFormat/>
    <w:uiPriority w:val="9"/>
    <w:rPr>
      <w:rFonts w:ascii="Times New Roman" w:hAnsi="Times New Roman" w:eastAsia="宋体" w:cstheme="majorBidi"/>
      <w:color w:val="2F5597" w:themeColor="accent1" w:themeShade="BF"/>
      <w:sz w:val="28"/>
      <w:szCs w:val="28"/>
    </w:rPr>
  </w:style>
  <w:style w:type="character" w:customStyle="1" w:styleId="31">
    <w:name w:val="标题 5 字符"/>
    <w:basedOn w:val="23"/>
    <w:link w:val="8"/>
    <w:semiHidden/>
    <w:qFormat/>
    <w:uiPriority w:val="9"/>
    <w:rPr>
      <w:rFonts w:ascii="Times New Roman" w:hAnsi="Times New Roman" w:eastAsia="宋体" w:cstheme="majorBidi"/>
      <w:color w:val="2F5597" w:themeColor="accent1" w:themeShade="BF"/>
      <w:sz w:val="24"/>
      <w:szCs w:val="20"/>
    </w:rPr>
  </w:style>
  <w:style w:type="character" w:customStyle="1" w:styleId="32">
    <w:name w:val="标题 6 字符"/>
    <w:basedOn w:val="23"/>
    <w:link w:val="9"/>
    <w:semiHidden/>
    <w:qFormat/>
    <w:uiPriority w:val="9"/>
    <w:rPr>
      <w:rFonts w:ascii="Times New Roman" w:hAnsi="Times New Roman" w:eastAsia="宋体" w:cstheme="majorBidi"/>
      <w:b/>
      <w:bCs/>
      <w:color w:val="2F5597" w:themeColor="accent1" w:themeShade="BF"/>
      <w:szCs w:val="20"/>
    </w:rPr>
  </w:style>
  <w:style w:type="character" w:customStyle="1" w:styleId="33">
    <w:name w:val="标题 7 字符"/>
    <w:basedOn w:val="23"/>
    <w:link w:val="10"/>
    <w:semiHidden/>
    <w:qFormat/>
    <w:uiPriority w:val="9"/>
    <w:rPr>
      <w:rFonts w:ascii="Times New Roman" w:hAnsi="Times New Roman" w:eastAsia="宋体" w:cstheme="majorBidi"/>
      <w:b/>
      <w:bCs/>
      <w:color w:val="595959" w:themeColor="text1" w:themeTint="A6"/>
      <w:szCs w:val="20"/>
      <w14:textFill>
        <w14:solidFill>
          <w14:schemeClr w14:val="tx1">
            <w14:lumMod w14:val="65000"/>
            <w14:lumOff w14:val="35000"/>
          </w14:schemeClr>
        </w14:solidFill>
      </w14:textFill>
    </w:rPr>
  </w:style>
  <w:style w:type="character" w:customStyle="1" w:styleId="34">
    <w:name w:val="标题 8 字符"/>
    <w:basedOn w:val="23"/>
    <w:link w:val="11"/>
    <w:semiHidden/>
    <w:qFormat/>
    <w:uiPriority w:val="9"/>
    <w:rPr>
      <w:rFonts w:ascii="Times New Roman" w:hAnsi="Times New Roman" w:eastAsia="宋体" w:cstheme="majorBidi"/>
      <w:color w:val="595959" w:themeColor="text1" w:themeTint="A6"/>
      <w:szCs w:val="20"/>
      <w14:textFill>
        <w14:solidFill>
          <w14:schemeClr w14:val="tx1">
            <w14:lumMod w14:val="65000"/>
            <w14:lumOff w14:val="35000"/>
          </w14:schemeClr>
        </w14:solidFill>
      </w14:textFill>
    </w:rPr>
  </w:style>
  <w:style w:type="character" w:customStyle="1" w:styleId="35">
    <w:name w:val="标题 9 字符"/>
    <w:basedOn w:val="23"/>
    <w:link w:val="12"/>
    <w:semiHidden/>
    <w:qFormat/>
    <w:uiPriority w:val="9"/>
    <w:rPr>
      <w:rFonts w:ascii="Times New Roman" w:hAnsi="Times New Roman" w:eastAsiaTheme="majorEastAsia" w:cstheme="majorBidi"/>
      <w:color w:val="595959" w:themeColor="text1" w:themeTint="A6"/>
      <w:szCs w:val="20"/>
      <w14:textFill>
        <w14:solidFill>
          <w14:schemeClr w14:val="tx1">
            <w14:lumMod w14:val="65000"/>
            <w14:lumOff w14:val="35000"/>
          </w14:schemeClr>
        </w14:solidFill>
      </w14:textFill>
    </w:rPr>
  </w:style>
  <w:style w:type="character" w:customStyle="1" w:styleId="36">
    <w:name w:val="标题 字符"/>
    <w:basedOn w:val="23"/>
    <w:link w:val="21"/>
    <w:qFormat/>
    <w:uiPriority w:val="10"/>
    <w:rPr>
      <w:rFonts w:asciiTheme="majorHAnsi" w:hAnsiTheme="majorHAnsi" w:eastAsiaTheme="majorEastAsia" w:cstheme="majorBidi"/>
      <w:spacing w:val="-10"/>
      <w:kern w:val="28"/>
      <w:sz w:val="56"/>
      <w:szCs w:val="56"/>
    </w:rPr>
  </w:style>
  <w:style w:type="character" w:customStyle="1" w:styleId="37">
    <w:name w:val="副标题 字符"/>
    <w:basedOn w:val="23"/>
    <w:link w:val="19"/>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8">
    <w:name w:val="Quote"/>
    <w:basedOn w:val="1"/>
    <w:next w:val="1"/>
    <w:link w:val="3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字符"/>
    <w:basedOn w:val="23"/>
    <w:link w:val="38"/>
    <w:qFormat/>
    <w:uiPriority w:val="29"/>
    <w:rPr>
      <w:rFonts w:ascii="Times New Roman" w:hAnsi="Times New Roman" w:eastAsia="宋体" w:cs="Times New Roman"/>
      <w:i/>
      <w:iCs/>
      <w:color w:val="404040" w:themeColor="text1" w:themeTint="BF"/>
      <w:szCs w:val="20"/>
      <w14:textFill>
        <w14:solidFill>
          <w14:schemeClr w14:val="tx1">
            <w14:lumMod w14:val="75000"/>
            <w14:lumOff w14:val="25000"/>
          </w14:schemeClr>
        </w14:solidFill>
      </w14:textFill>
    </w:rPr>
  </w:style>
  <w:style w:type="paragraph" w:styleId="40">
    <w:name w:val="List Paragraph"/>
    <w:basedOn w:val="1"/>
    <w:qFormat/>
    <w:uiPriority w:val="1"/>
    <w:pPr>
      <w:ind w:left="720"/>
      <w:contextualSpacing/>
    </w:pPr>
  </w:style>
  <w:style w:type="character" w:customStyle="1" w:styleId="41">
    <w:name w:val="明显强调1"/>
    <w:basedOn w:val="23"/>
    <w:qFormat/>
    <w:uiPriority w:val="21"/>
    <w:rPr>
      <w:i/>
      <w:iCs/>
      <w:color w:val="2F5597" w:themeColor="accent1" w:themeShade="BF"/>
    </w:rPr>
  </w:style>
  <w:style w:type="paragraph" w:styleId="42">
    <w:name w:val="Intense Quote"/>
    <w:basedOn w:val="1"/>
    <w:next w:val="1"/>
    <w:link w:val="4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3">
    <w:name w:val="明显引用 字符"/>
    <w:basedOn w:val="23"/>
    <w:link w:val="42"/>
    <w:qFormat/>
    <w:uiPriority w:val="30"/>
    <w:rPr>
      <w:rFonts w:ascii="Times New Roman" w:hAnsi="Times New Roman" w:eastAsia="宋体" w:cs="Times New Roman"/>
      <w:i/>
      <w:iCs/>
      <w:color w:val="2F5597" w:themeColor="accent1" w:themeShade="BF"/>
      <w:szCs w:val="20"/>
    </w:rPr>
  </w:style>
  <w:style w:type="character" w:customStyle="1" w:styleId="44">
    <w:name w:val="明显参考1"/>
    <w:basedOn w:val="23"/>
    <w:qFormat/>
    <w:uiPriority w:val="32"/>
    <w:rPr>
      <w:b/>
      <w:bCs/>
      <w:smallCaps/>
      <w:color w:val="2F5597" w:themeColor="accent1" w:themeShade="BF"/>
      <w:spacing w:val="5"/>
    </w:rPr>
  </w:style>
  <w:style w:type="character" w:customStyle="1" w:styleId="45">
    <w:name w:val="正文文本 字符"/>
    <w:basedOn w:val="23"/>
    <w:link w:val="3"/>
    <w:qFormat/>
    <w:uiPriority w:val="0"/>
    <w:rPr>
      <w:rFonts w:ascii="Times New Roman" w:hAnsi="Times New Roman" w:eastAsia="宋体" w:cs="Times New Roman"/>
      <w:szCs w:val="20"/>
    </w:rPr>
  </w:style>
  <w:style w:type="character" w:customStyle="1" w:styleId="46">
    <w:name w:val="正文文本首行缩进 字符"/>
    <w:basedOn w:val="45"/>
    <w:link w:val="2"/>
    <w:qFormat/>
    <w:uiPriority w:val="0"/>
    <w:rPr>
      <w:rFonts w:ascii="Times New Roman" w:hAnsi="Times New Roman" w:eastAsia="宋体" w:cs="Times New Roman"/>
      <w:kern w:val="0"/>
      <w:sz w:val="24"/>
      <w:szCs w:val="20"/>
    </w:rPr>
  </w:style>
  <w:style w:type="character" w:customStyle="1" w:styleId="47">
    <w:name w:val="纯文本 字符"/>
    <w:basedOn w:val="23"/>
    <w:link w:val="16"/>
    <w:qFormat/>
    <w:uiPriority w:val="0"/>
    <w:rPr>
      <w:rFonts w:ascii="Times New Roman" w:hAnsi="Courier New" w:eastAsia="宋体" w:cs="Times New Roman"/>
      <w:szCs w:val="20"/>
    </w:rPr>
  </w:style>
  <w:style w:type="character" w:customStyle="1" w:styleId="48">
    <w:name w:val="未处理的提及1"/>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356</Words>
  <Characters>2034</Characters>
  <Lines>16</Lines>
  <Paragraphs>4</Paragraphs>
  <TotalTime>30</TotalTime>
  <ScaleCrop>false</ScaleCrop>
  <LinksUpToDate>false</LinksUpToDate>
  <CharactersWithSpaces>2386</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2024-04-30T09:22:00Z</dcterms:created>
  <dc:creator>子 叶</dc:creator>
  <cp:lastModifiedBy>greatwall</cp:lastModifiedBy>
  <dcterms:modified xsi:type="dcterms:W3CDTF">2024-10-22T14:19:04Z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C9B5852408A844299D57B210AC51657E_12</vt:lpwstr>
  </property>
</Properties>
</file>