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77915">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冠脉球囊类联盟带量采购中选产品带量采购最低中选价格信息申报表</w:t>
      </w:r>
    </w:p>
    <w:tbl>
      <w:tblPr>
        <w:tblStyle w:val="3"/>
        <w:tblpPr w:leftFromText="180" w:rightFromText="180" w:vertAnchor="page" w:horzAnchor="page" w:tblpX="824" w:tblpY="2853"/>
        <w:tblOverlap w:val="never"/>
        <w:tblW w:w="15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95"/>
        <w:gridCol w:w="1800"/>
        <w:gridCol w:w="1752"/>
        <w:gridCol w:w="1368"/>
        <w:gridCol w:w="1335"/>
        <w:gridCol w:w="1365"/>
        <w:gridCol w:w="1275"/>
        <w:gridCol w:w="1620"/>
        <w:gridCol w:w="1215"/>
        <w:gridCol w:w="2619"/>
      </w:tblGrid>
      <w:tr w14:paraId="296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noWrap w:val="0"/>
            <w:vAlign w:val="center"/>
          </w:tcPr>
          <w:p w14:paraId="630DA57B">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795" w:type="dxa"/>
            <w:noWrap w:val="0"/>
            <w:vAlign w:val="center"/>
          </w:tcPr>
          <w:p w14:paraId="21AED608">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类别</w:t>
            </w:r>
          </w:p>
        </w:tc>
        <w:tc>
          <w:tcPr>
            <w:tcW w:w="1800" w:type="dxa"/>
            <w:noWrap w:val="0"/>
            <w:vAlign w:val="center"/>
          </w:tcPr>
          <w:p w14:paraId="42B1C381">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类别名称</w:t>
            </w:r>
          </w:p>
        </w:tc>
        <w:tc>
          <w:tcPr>
            <w:tcW w:w="1752" w:type="dxa"/>
            <w:noWrap w:val="0"/>
            <w:vAlign w:val="center"/>
          </w:tcPr>
          <w:p w14:paraId="73FBD2F7">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注册备案号</w:t>
            </w:r>
          </w:p>
        </w:tc>
        <w:tc>
          <w:tcPr>
            <w:tcW w:w="1368" w:type="dxa"/>
            <w:noWrap w:val="0"/>
            <w:vAlign w:val="center"/>
          </w:tcPr>
          <w:p w14:paraId="2DED853E">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注册证名称</w:t>
            </w:r>
          </w:p>
        </w:tc>
        <w:tc>
          <w:tcPr>
            <w:tcW w:w="1335" w:type="dxa"/>
            <w:noWrap w:val="0"/>
            <w:vAlign w:val="center"/>
          </w:tcPr>
          <w:p w14:paraId="40B348B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规格型号</w:t>
            </w:r>
          </w:p>
        </w:tc>
        <w:tc>
          <w:tcPr>
            <w:tcW w:w="1365" w:type="dxa"/>
            <w:noWrap w:val="0"/>
            <w:vAlign w:val="center"/>
          </w:tcPr>
          <w:p w14:paraId="439D2F73">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申报企业</w:t>
            </w:r>
          </w:p>
        </w:tc>
        <w:tc>
          <w:tcPr>
            <w:tcW w:w="1275" w:type="dxa"/>
            <w:noWrap w:val="0"/>
            <w:vAlign w:val="center"/>
          </w:tcPr>
          <w:p w14:paraId="5804DD6F">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生产企业</w:t>
            </w:r>
          </w:p>
        </w:tc>
        <w:tc>
          <w:tcPr>
            <w:tcW w:w="1620" w:type="dxa"/>
            <w:noWrap w:val="0"/>
            <w:vAlign w:val="center"/>
          </w:tcPr>
          <w:p w14:paraId="1FABD6A0">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带量采购最低价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（元/个）</w:t>
            </w:r>
          </w:p>
        </w:tc>
        <w:tc>
          <w:tcPr>
            <w:tcW w:w="1215" w:type="dxa"/>
            <w:noWrap w:val="0"/>
            <w:vAlign w:val="center"/>
          </w:tcPr>
          <w:p w14:paraId="2E7915A8">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价格来源省份</w:t>
            </w:r>
          </w:p>
        </w:tc>
        <w:tc>
          <w:tcPr>
            <w:tcW w:w="2619" w:type="dxa"/>
            <w:noWrap w:val="0"/>
            <w:vAlign w:val="center"/>
          </w:tcPr>
          <w:p w14:paraId="7F5CA7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2EEE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93" w:type="dxa"/>
            <w:noWrap w:val="0"/>
            <w:vAlign w:val="center"/>
          </w:tcPr>
          <w:p w14:paraId="4E4F1968">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c>
          <w:tcPr>
            <w:tcW w:w="795" w:type="dxa"/>
            <w:noWrap w:val="0"/>
            <w:vAlign w:val="center"/>
          </w:tcPr>
          <w:p w14:paraId="35C83BAE">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第1类</w:t>
            </w:r>
          </w:p>
        </w:tc>
        <w:tc>
          <w:tcPr>
            <w:tcW w:w="1800" w:type="dxa"/>
            <w:noWrap w:val="0"/>
            <w:vAlign w:val="center"/>
          </w:tcPr>
          <w:p w14:paraId="09E21BC8">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半顺应性冠脉扩</w:t>
            </w:r>
          </w:p>
          <w:p w14:paraId="24DE29A9">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张球囊（预扩）</w:t>
            </w:r>
          </w:p>
        </w:tc>
        <w:tc>
          <w:tcPr>
            <w:tcW w:w="1752" w:type="dxa"/>
            <w:noWrap w:val="0"/>
            <w:vAlign w:val="center"/>
          </w:tcPr>
          <w:p w14:paraId="19430912">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国械注进20193※※※339</w:t>
            </w:r>
          </w:p>
        </w:tc>
        <w:tc>
          <w:tcPr>
            <w:tcW w:w="1368" w:type="dxa"/>
            <w:noWrap w:val="0"/>
            <w:vAlign w:val="center"/>
          </w:tcPr>
          <w:p w14:paraId="56F1892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PTCA球囊扩张导管</w:t>
            </w:r>
          </w:p>
        </w:tc>
        <w:tc>
          <w:tcPr>
            <w:tcW w:w="1335" w:type="dxa"/>
            <w:noWrap w:val="0"/>
            <w:vAlign w:val="center"/>
          </w:tcPr>
          <w:p w14:paraId="5BEADB2B">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各规格型号</w:t>
            </w:r>
          </w:p>
        </w:tc>
        <w:tc>
          <w:tcPr>
            <w:tcW w:w="1365" w:type="dxa"/>
            <w:noWrap w:val="0"/>
            <w:vAlign w:val="center"/>
          </w:tcPr>
          <w:p w14:paraId="5549D6AF">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275" w:type="dxa"/>
            <w:noWrap w:val="0"/>
            <w:vAlign w:val="center"/>
          </w:tcPr>
          <w:p w14:paraId="7E35D75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20" w:type="dxa"/>
            <w:noWrap w:val="0"/>
            <w:vAlign w:val="center"/>
          </w:tcPr>
          <w:p w14:paraId="0914BED5">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150</w:t>
            </w:r>
          </w:p>
        </w:tc>
        <w:tc>
          <w:tcPr>
            <w:tcW w:w="1215" w:type="dxa"/>
            <w:noWrap w:val="0"/>
            <w:vAlign w:val="center"/>
          </w:tcPr>
          <w:p w14:paraId="38AB992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山东</w:t>
            </w:r>
          </w:p>
        </w:tc>
        <w:tc>
          <w:tcPr>
            <w:tcW w:w="2619" w:type="dxa"/>
            <w:noWrap w:val="0"/>
            <w:vAlign w:val="center"/>
          </w:tcPr>
          <w:p w14:paraId="60870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64E4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93" w:type="dxa"/>
            <w:noWrap w:val="0"/>
            <w:vAlign w:val="center"/>
          </w:tcPr>
          <w:p w14:paraId="1738667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w:t>
            </w:r>
          </w:p>
        </w:tc>
        <w:tc>
          <w:tcPr>
            <w:tcW w:w="795" w:type="dxa"/>
            <w:noWrap w:val="0"/>
            <w:vAlign w:val="center"/>
          </w:tcPr>
          <w:p w14:paraId="18609866">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第</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类</w:t>
            </w:r>
          </w:p>
        </w:tc>
        <w:tc>
          <w:tcPr>
            <w:tcW w:w="1800" w:type="dxa"/>
            <w:noWrap w:val="0"/>
            <w:vAlign w:val="center"/>
          </w:tcPr>
          <w:p w14:paraId="7D1C61F1">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非顺应性冠脉扩</w:t>
            </w:r>
          </w:p>
          <w:p w14:paraId="4E26A945">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张球囊（后扩）</w:t>
            </w:r>
          </w:p>
        </w:tc>
        <w:tc>
          <w:tcPr>
            <w:tcW w:w="1752" w:type="dxa"/>
            <w:noWrap w:val="0"/>
            <w:vAlign w:val="center"/>
          </w:tcPr>
          <w:p w14:paraId="3C359F2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国械注进20193※※※339</w:t>
            </w:r>
          </w:p>
        </w:tc>
        <w:tc>
          <w:tcPr>
            <w:tcW w:w="1368" w:type="dxa"/>
            <w:noWrap w:val="0"/>
            <w:vAlign w:val="center"/>
          </w:tcPr>
          <w:p w14:paraId="56A3881F">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非顺应性球囊扩张导管</w:t>
            </w:r>
          </w:p>
        </w:tc>
        <w:tc>
          <w:tcPr>
            <w:tcW w:w="1335" w:type="dxa"/>
            <w:noWrap w:val="0"/>
            <w:vAlign w:val="center"/>
          </w:tcPr>
          <w:p w14:paraId="4EDF55A1">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各规格型号</w:t>
            </w:r>
          </w:p>
        </w:tc>
        <w:tc>
          <w:tcPr>
            <w:tcW w:w="1365" w:type="dxa"/>
            <w:noWrap w:val="0"/>
            <w:vAlign w:val="center"/>
          </w:tcPr>
          <w:p w14:paraId="45071A66">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275" w:type="dxa"/>
            <w:noWrap w:val="0"/>
            <w:vAlign w:val="center"/>
          </w:tcPr>
          <w:p w14:paraId="52C97EF7">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20" w:type="dxa"/>
            <w:noWrap w:val="0"/>
            <w:vAlign w:val="center"/>
          </w:tcPr>
          <w:p w14:paraId="1AA6005C">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203</w:t>
            </w:r>
          </w:p>
        </w:tc>
        <w:tc>
          <w:tcPr>
            <w:tcW w:w="1215" w:type="dxa"/>
            <w:noWrap w:val="0"/>
            <w:vAlign w:val="center"/>
          </w:tcPr>
          <w:p w14:paraId="4A51A65E">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福建</w:t>
            </w:r>
          </w:p>
        </w:tc>
        <w:tc>
          <w:tcPr>
            <w:tcW w:w="2619" w:type="dxa"/>
            <w:noWrap w:val="0"/>
            <w:vAlign w:val="center"/>
          </w:tcPr>
          <w:p w14:paraId="3AFA8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6201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3" w:type="dxa"/>
            <w:noWrap w:val="0"/>
            <w:vAlign w:val="center"/>
          </w:tcPr>
          <w:p w14:paraId="264C6612">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3</w:t>
            </w:r>
          </w:p>
        </w:tc>
        <w:tc>
          <w:tcPr>
            <w:tcW w:w="795" w:type="dxa"/>
            <w:noWrap w:val="0"/>
            <w:vAlign w:val="center"/>
          </w:tcPr>
          <w:p w14:paraId="727E5DB8">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第</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类</w:t>
            </w:r>
          </w:p>
        </w:tc>
        <w:tc>
          <w:tcPr>
            <w:tcW w:w="1800" w:type="dxa"/>
            <w:noWrap w:val="0"/>
            <w:vAlign w:val="center"/>
          </w:tcPr>
          <w:p w14:paraId="04596102">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冠脉药物涂层球</w:t>
            </w:r>
          </w:p>
          <w:p w14:paraId="3C3F437D">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囊（药球）</w:t>
            </w:r>
          </w:p>
        </w:tc>
        <w:tc>
          <w:tcPr>
            <w:tcW w:w="1752" w:type="dxa"/>
            <w:noWrap w:val="0"/>
            <w:vAlign w:val="center"/>
          </w:tcPr>
          <w:p w14:paraId="7E960F5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国械注进20193※※※339</w:t>
            </w:r>
          </w:p>
        </w:tc>
        <w:tc>
          <w:tcPr>
            <w:tcW w:w="1368" w:type="dxa"/>
            <w:noWrap w:val="0"/>
            <w:vAlign w:val="center"/>
          </w:tcPr>
          <w:p w14:paraId="13BF3CDA">
            <w:pPr>
              <w:jc w:val="center"/>
              <w:rPr>
                <w:rFonts w:hint="eastAsia"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紫</w:t>
            </w:r>
            <w:r>
              <w:rPr>
                <w:rFonts w:hint="eastAsia" w:ascii="宋体" w:hAnsi="宋体" w:eastAsia="宋体" w:cs="宋体"/>
                <w:sz w:val="18"/>
                <w:szCs w:val="18"/>
                <w:highlight w:val="none"/>
                <w:vertAlign w:val="baseline"/>
                <w:lang w:val="en-US" w:eastAsia="zh-CN"/>
              </w:rPr>
              <w:t>杉醇释放冠脉球囊导管</w:t>
            </w:r>
          </w:p>
        </w:tc>
        <w:tc>
          <w:tcPr>
            <w:tcW w:w="1335" w:type="dxa"/>
            <w:noWrap w:val="0"/>
            <w:vAlign w:val="center"/>
          </w:tcPr>
          <w:p w14:paraId="5BF2D7F4">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各规格型号</w:t>
            </w:r>
          </w:p>
        </w:tc>
        <w:tc>
          <w:tcPr>
            <w:tcW w:w="1365" w:type="dxa"/>
            <w:noWrap w:val="0"/>
            <w:vAlign w:val="center"/>
          </w:tcPr>
          <w:p w14:paraId="3F99C38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275" w:type="dxa"/>
            <w:noWrap w:val="0"/>
            <w:vAlign w:val="center"/>
          </w:tcPr>
          <w:p w14:paraId="401CC19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20" w:type="dxa"/>
            <w:noWrap w:val="0"/>
            <w:vAlign w:val="center"/>
          </w:tcPr>
          <w:p w14:paraId="6BB155CA">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300</w:t>
            </w:r>
          </w:p>
        </w:tc>
        <w:tc>
          <w:tcPr>
            <w:tcW w:w="1215" w:type="dxa"/>
            <w:noWrap w:val="0"/>
            <w:vAlign w:val="center"/>
          </w:tcPr>
          <w:p w14:paraId="19E9A2D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河北</w:t>
            </w:r>
          </w:p>
        </w:tc>
        <w:tc>
          <w:tcPr>
            <w:tcW w:w="2619" w:type="dxa"/>
            <w:noWrap w:val="0"/>
            <w:vAlign w:val="center"/>
          </w:tcPr>
          <w:p w14:paraId="72929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3811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3" w:type="dxa"/>
            <w:noWrap w:val="0"/>
            <w:vAlign w:val="center"/>
          </w:tcPr>
          <w:p w14:paraId="79C2822B">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795" w:type="dxa"/>
            <w:noWrap w:val="0"/>
            <w:vAlign w:val="center"/>
          </w:tcPr>
          <w:p w14:paraId="369C1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00" w:type="dxa"/>
            <w:noWrap w:val="0"/>
            <w:vAlign w:val="center"/>
          </w:tcPr>
          <w:p w14:paraId="08259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52" w:type="dxa"/>
            <w:noWrap w:val="0"/>
            <w:vAlign w:val="center"/>
          </w:tcPr>
          <w:p w14:paraId="33AC8864">
            <w:pPr>
              <w:jc w:val="center"/>
              <w:rPr>
                <w:rFonts w:hint="eastAsia" w:ascii="宋体" w:hAnsi="宋体" w:eastAsia="宋体" w:cs="宋体"/>
                <w:sz w:val="18"/>
                <w:szCs w:val="18"/>
                <w:highlight w:val="none"/>
                <w:vertAlign w:val="baseline"/>
                <w:lang w:val="en-US" w:eastAsia="zh-CN"/>
              </w:rPr>
            </w:pPr>
          </w:p>
        </w:tc>
        <w:tc>
          <w:tcPr>
            <w:tcW w:w="1368" w:type="dxa"/>
            <w:noWrap w:val="0"/>
            <w:vAlign w:val="center"/>
          </w:tcPr>
          <w:p w14:paraId="62D8A0D7">
            <w:pPr>
              <w:jc w:val="center"/>
              <w:rPr>
                <w:rFonts w:hint="eastAsia" w:ascii="宋体" w:hAnsi="宋体" w:eastAsia="宋体" w:cs="宋体"/>
                <w:sz w:val="18"/>
                <w:szCs w:val="18"/>
                <w:highlight w:val="none"/>
                <w:vertAlign w:val="baseline"/>
                <w:lang w:val="en-US" w:eastAsia="zh-CN"/>
              </w:rPr>
            </w:pPr>
          </w:p>
        </w:tc>
        <w:tc>
          <w:tcPr>
            <w:tcW w:w="1335" w:type="dxa"/>
            <w:noWrap w:val="0"/>
            <w:vAlign w:val="center"/>
          </w:tcPr>
          <w:p w14:paraId="58DF0273">
            <w:pPr>
              <w:jc w:val="center"/>
              <w:rPr>
                <w:rFonts w:hint="eastAsia" w:ascii="宋体" w:hAnsi="宋体" w:eastAsia="宋体" w:cs="宋体"/>
                <w:sz w:val="18"/>
                <w:szCs w:val="18"/>
                <w:highlight w:val="none"/>
                <w:vertAlign w:val="baseline"/>
                <w:lang w:val="en-US" w:eastAsia="zh-CN"/>
              </w:rPr>
            </w:pPr>
          </w:p>
        </w:tc>
        <w:tc>
          <w:tcPr>
            <w:tcW w:w="1365" w:type="dxa"/>
            <w:noWrap w:val="0"/>
            <w:vAlign w:val="center"/>
          </w:tcPr>
          <w:p w14:paraId="4E761382">
            <w:pPr>
              <w:jc w:val="center"/>
              <w:rPr>
                <w:rFonts w:hint="eastAsia" w:ascii="宋体" w:hAnsi="宋体" w:eastAsia="宋体" w:cs="宋体"/>
                <w:sz w:val="18"/>
                <w:szCs w:val="18"/>
                <w:highlight w:val="none"/>
                <w:vertAlign w:val="baseline"/>
                <w:lang w:val="en-US" w:eastAsia="zh-CN"/>
              </w:rPr>
            </w:pPr>
          </w:p>
        </w:tc>
        <w:tc>
          <w:tcPr>
            <w:tcW w:w="1275" w:type="dxa"/>
            <w:noWrap w:val="0"/>
            <w:vAlign w:val="center"/>
          </w:tcPr>
          <w:p w14:paraId="407A1D49">
            <w:pPr>
              <w:jc w:val="center"/>
              <w:rPr>
                <w:rFonts w:hint="eastAsia" w:ascii="宋体" w:hAnsi="宋体" w:eastAsia="宋体" w:cs="宋体"/>
                <w:sz w:val="18"/>
                <w:szCs w:val="18"/>
                <w:highlight w:val="none"/>
                <w:vertAlign w:val="baseline"/>
                <w:lang w:val="en-US" w:eastAsia="zh-CN"/>
              </w:rPr>
            </w:pPr>
          </w:p>
        </w:tc>
        <w:tc>
          <w:tcPr>
            <w:tcW w:w="1620" w:type="dxa"/>
            <w:noWrap w:val="0"/>
            <w:vAlign w:val="center"/>
          </w:tcPr>
          <w:p w14:paraId="05177D44">
            <w:pPr>
              <w:jc w:val="center"/>
              <w:rPr>
                <w:rFonts w:hint="eastAsia" w:ascii="宋体" w:hAnsi="宋体" w:eastAsia="宋体" w:cs="宋体"/>
                <w:sz w:val="18"/>
                <w:szCs w:val="18"/>
                <w:highlight w:val="none"/>
                <w:vertAlign w:val="baseline"/>
                <w:lang w:val="en-US" w:eastAsia="zh-CN"/>
              </w:rPr>
            </w:pPr>
          </w:p>
        </w:tc>
        <w:tc>
          <w:tcPr>
            <w:tcW w:w="1215" w:type="dxa"/>
            <w:noWrap w:val="0"/>
            <w:vAlign w:val="center"/>
          </w:tcPr>
          <w:p w14:paraId="0831D40D">
            <w:pPr>
              <w:jc w:val="center"/>
              <w:rPr>
                <w:rFonts w:hint="eastAsia" w:ascii="宋体" w:hAnsi="宋体" w:eastAsia="宋体" w:cs="宋体"/>
                <w:sz w:val="18"/>
                <w:szCs w:val="18"/>
                <w:highlight w:val="none"/>
                <w:vertAlign w:val="baseline"/>
                <w:lang w:val="en-US" w:eastAsia="zh-CN"/>
              </w:rPr>
            </w:pPr>
          </w:p>
        </w:tc>
        <w:tc>
          <w:tcPr>
            <w:tcW w:w="2619" w:type="dxa"/>
            <w:noWrap w:val="0"/>
            <w:vAlign w:val="center"/>
          </w:tcPr>
          <w:p w14:paraId="7D9EDC8E">
            <w:pPr>
              <w:jc w:val="center"/>
              <w:rPr>
                <w:rFonts w:hint="eastAsia" w:ascii="宋体" w:hAnsi="宋体" w:eastAsia="宋体" w:cs="宋体"/>
                <w:sz w:val="18"/>
                <w:szCs w:val="18"/>
                <w:highlight w:val="none"/>
                <w:vertAlign w:val="baseline"/>
                <w:lang w:val="en-US" w:eastAsia="zh-CN"/>
              </w:rPr>
            </w:pPr>
          </w:p>
        </w:tc>
      </w:tr>
    </w:tbl>
    <w:p w14:paraId="69CC5764">
      <w:pPr>
        <w:rPr>
          <w:rFonts w:hint="eastAsia" w:ascii="楷体_GB2312" w:hAnsi="楷体_GB2312" w:eastAsia="楷体_GB2312" w:cs="楷体_GB2312"/>
          <w:sz w:val="24"/>
          <w:szCs w:val="24"/>
          <w:highlight w:val="none"/>
          <w:lang w:val="en-US" w:eastAsia="zh-CN"/>
        </w:rPr>
      </w:pPr>
    </w:p>
    <w:p w14:paraId="1CF2571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填表说明：1.以上填写信息为举例数据，正式填写时请予以删除；</w:t>
      </w:r>
    </w:p>
    <w:p w14:paraId="17D2540D">
      <w:pPr>
        <w:numPr>
          <w:ilvl w:val="0"/>
          <w:numId w:val="0"/>
        </w:numPr>
        <w:ind w:left="1050" w:leftChars="50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2.“类别”及“类别名称”请按照《冠脉球囊类医用耗材联盟集中带量采购协议期满后采购文件》（采购文件编号：GDYJHCDLJX202301）的分类制式填写；</w:t>
      </w:r>
    </w:p>
    <w:p w14:paraId="131C486E">
      <w:pPr>
        <w:numPr>
          <w:ilvl w:val="0"/>
          <w:numId w:val="0"/>
        </w:numPr>
        <w:ind w:left="1050" w:leftChars="500" w:firstLine="0" w:firstLineChars="0"/>
        <w:rPr>
          <w:rFonts w:hint="eastAsia" w:ascii="仿宋_GB2312" w:eastAsia="仿宋_GB2312"/>
          <w:sz w:val="30"/>
          <w:szCs w:val="30"/>
        </w:rPr>
      </w:pPr>
      <w:r>
        <w:rPr>
          <w:rFonts w:hint="eastAsia" w:ascii="仿宋" w:hAnsi="仿宋" w:eastAsia="仿宋" w:cs="仿宋"/>
          <w:sz w:val="21"/>
          <w:szCs w:val="21"/>
          <w:highlight w:val="none"/>
          <w:lang w:val="en-US" w:eastAsia="zh-CN"/>
        </w:rPr>
        <w:t>3.“带量采购最低价”为对应产品首年签约期满前新产生的全国各省集中带量采购最低中选价格；同类别同注册证中选规格型号存在多个不同价格的，按就低原则取低值进行申报。</w:t>
      </w:r>
    </w:p>
    <w:p w14:paraId="7385A0D7">
      <w:pPr>
        <w:wordWrap w:val="0"/>
        <w:spacing w:line="560" w:lineRule="exact"/>
        <w:jc w:val="center"/>
        <w:rPr>
          <w:rFonts w:ascii="仿宋_GB2312" w:eastAsia="仿宋_GB2312"/>
          <w:sz w:val="24"/>
          <w:szCs w:val="24"/>
        </w:rPr>
      </w:pPr>
      <w:r>
        <w:rPr>
          <w:rFonts w:hint="eastAsia" w:ascii="仿宋_GB2312" w:eastAsia="仿宋_GB2312"/>
          <w:sz w:val="30"/>
          <w:szCs w:val="30"/>
          <w:lang w:val="en-US" w:eastAsia="zh-CN"/>
        </w:rPr>
        <w:t xml:space="preserve">                               </w:t>
      </w:r>
      <w:r>
        <w:rPr>
          <w:rFonts w:hint="eastAsia" w:ascii="仿宋_GB2312" w:eastAsia="仿宋_GB2312"/>
          <w:sz w:val="24"/>
          <w:szCs w:val="24"/>
          <w:lang w:val="en-US" w:eastAsia="zh-CN"/>
        </w:rPr>
        <w:t xml:space="preserve">  申报</w:t>
      </w:r>
      <w:r>
        <w:rPr>
          <w:rFonts w:hint="eastAsia" w:ascii="仿宋_GB2312" w:eastAsia="仿宋_GB2312"/>
          <w:sz w:val="24"/>
          <w:szCs w:val="24"/>
        </w:rPr>
        <w:t>企业(盖章):</w:t>
      </w:r>
      <w:r>
        <w:rPr>
          <w:rFonts w:ascii="仿宋_GB2312" w:eastAsia="仿宋_GB2312"/>
          <w:sz w:val="24"/>
          <w:szCs w:val="24"/>
        </w:rPr>
        <w:t xml:space="preserve">        </w:t>
      </w:r>
    </w:p>
    <w:p w14:paraId="77792964">
      <w:pPr>
        <w:wordWrap w:val="0"/>
        <w:spacing w:line="560" w:lineRule="exact"/>
        <w:jc w:val="center"/>
        <w:rPr>
          <w:rFonts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法定代表人（签字）:</w:t>
      </w:r>
      <w:r>
        <w:rPr>
          <w:rFonts w:ascii="仿宋_GB2312" w:eastAsia="仿宋_GB2312"/>
          <w:sz w:val="24"/>
          <w:szCs w:val="24"/>
        </w:rPr>
        <w:t xml:space="preserve">        </w:t>
      </w:r>
    </w:p>
    <w:p w14:paraId="69774797">
      <w:pPr>
        <w:numPr>
          <w:ilvl w:val="0"/>
          <w:numId w:val="0"/>
        </w:numPr>
        <w:ind w:left="1200" w:leftChars="0"/>
        <w:jc w:val="center"/>
        <w:rPr>
          <w:rFonts w:hint="default" w:ascii="仿宋_GB2312" w:hAnsi="仿宋_GB2312" w:eastAsia="仿宋_GB2312" w:cs="仿宋_GB2312"/>
          <w:sz w:val="24"/>
          <w:szCs w:val="24"/>
          <w:highlight w:val="none"/>
          <w:lang w:val="en-US" w:eastAsia="zh-CN"/>
        </w:rPr>
      </w:pPr>
      <w:bookmarkStart w:id="0" w:name="_GoBack"/>
      <w:bookmarkEnd w:id="0"/>
      <w:r>
        <w:rPr>
          <w:rFonts w:hint="eastAsia" w:ascii="仿宋_GB2312" w:eastAsia="仿宋_GB2312"/>
          <w:sz w:val="24"/>
          <w:szCs w:val="24"/>
          <w:lang w:val="en-US" w:eastAsia="zh-CN"/>
        </w:rPr>
        <w:t xml:space="preserve">                      </w:t>
      </w:r>
      <w:r>
        <w:rPr>
          <w:rFonts w:hint="eastAsia" w:ascii="仿宋_GB2312" w:eastAsia="仿宋_GB2312"/>
          <w:sz w:val="24"/>
          <w:szCs w:val="24"/>
        </w:rPr>
        <w:t>20</w:t>
      </w:r>
      <w:r>
        <w:rPr>
          <w:rFonts w:hint="eastAsia" w:ascii="仿宋_GB2312" w:eastAsia="仿宋_GB2312"/>
          <w:sz w:val="24"/>
          <w:szCs w:val="24"/>
          <w:lang w:val="en-US" w:eastAsia="zh-CN"/>
        </w:rPr>
        <w:t>24</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1" w:fontKey="{068D839B-DC0C-49D0-B5CB-589D06D812D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7F2F6D62-BAF9-47DF-B122-5B0F82B9C0F4}"/>
  </w:font>
  <w:font w:name="仿宋_GB2312">
    <w:panose1 w:val="02010609030101010101"/>
    <w:charset w:val="86"/>
    <w:family w:val="auto"/>
    <w:pitch w:val="default"/>
    <w:sig w:usb0="00000001" w:usb1="080E0000" w:usb2="00000000" w:usb3="00000000" w:csb0="00040000" w:csb1="00000000"/>
    <w:embedRegular r:id="rId3" w:fontKey="{6F2FCC52-DED0-4669-9466-1E0D2B4175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WQyYWI5Y2YxNWU1NmE4NWI2ODE1MDgyNzBkYmQifQ=="/>
  </w:docVars>
  <w:rsids>
    <w:rsidRoot w:val="00000000"/>
    <w:rsid w:val="059D6765"/>
    <w:rsid w:val="17451995"/>
    <w:rsid w:val="17A87F98"/>
    <w:rsid w:val="17C140B4"/>
    <w:rsid w:val="2C9917B7"/>
    <w:rsid w:val="33E300CC"/>
    <w:rsid w:val="70E97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486</Words>
  <Characters>537</Characters>
  <Lines>0</Lines>
  <Paragraphs>0</Paragraphs>
  <TotalTime>0</TotalTime>
  <ScaleCrop>false</ScaleCrop>
  <LinksUpToDate>false</LinksUpToDate>
  <CharactersWithSpaces>649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雨天玩意儿</cp:lastModifiedBy>
  <dcterms:modified xsi:type="dcterms:W3CDTF">2024-11-27T02:43:43Z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2CBE72FB77AA4E71A14E890AB8C4D0EA_13</vt:lpwstr>
  </property>
</Properties>
</file>