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冠脉球囊集采接续采购续签新增中选无增量资格产品信息申报表</w:t>
      </w:r>
    </w:p>
    <w:tbl>
      <w:tblPr>
        <w:tblStyle w:val="3"/>
        <w:tblpPr w:leftFromText="180" w:rightFromText="180" w:vertAnchor="page" w:horzAnchor="page" w:tblpXSpec="center" w:tblpY="2713"/>
        <w:tblOverlap w:val="never"/>
        <w:tblW w:w="14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720"/>
        <w:gridCol w:w="1630"/>
        <w:gridCol w:w="1586"/>
        <w:gridCol w:w="1238"/>
        <w:gridCol w:w="1209"/>
        <w:gridCol w:w="1236"/>
        <w:gridCol w:w="1223"/>
        <w:gridCol w:w="1733"/>
        <w:gridCol w:w="1283"/>
        <w:gridCol w:w="78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7"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720"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类别</w:t>
            </w:r>
          </w:p>
        </w:tc>
        <w:tc>
          <w:tcPr>
            <w:tcW w:w="1630"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类别名称</w:t>
            </w:r>
          </w:p>
        </w:tc>
        <w:tc>
          <w:tcPr>
            <w:tcW w:w="1586"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注册备案号</w:t>
            </w:r>
          </w:p>
        </w:tc>
        <w:tc>
          <w:tcPr>
            <w:tcW w:w="1238"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注册证名称</w:t>
            </w:r>
          </w:p>
        </w:tc>
        <w:tc>
          <w:tcPr>
            <w:tcW w:w="1209"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规格型号</w:t>
            </w:r>
          </w:p>
        </w:tc>
        <w:tc>
          <w:tcPr>
            <w:tcW w:w="1236"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申报企业</w:t>
            </w:r>
          </w:p>
        </w:tc>
        <w:tc>
          <w:tcPr>
            <w:tcW w:w="1223"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生产企业</w:t>
            </w:r>
          </w:p>
        </w:tc>
        <w:tc>
          <w:tcPr>
            <w:tcW w:w="1733" w:type="dxa"/>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申报价格</w:t>
            </w:r>
          </w:p>
          <w:p>
            <w:pPr>
              <w:keepNext w:val="0"/>
              <w:keepLines w:val="0"/>
              <w:widowControl/>
              <w:suppressLineNumbers w:val="0"/>
              <w:jc w:val="center"/>
              <w:textAlignment w:val="center"/>
              <w:rPr>
                <w:rFonts w:hint="default" w:ascii="宋体" w:hAnsi="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（元/个）</w:t>
            </w:r>
          </w:p>
        </w:tc>
        <w:tc>
          <w:tcPr>
            <w:tcW w:w="1283"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带量采购最低价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（元/个）</w:t>
            </w:r>
          </w:p>
        </w:tc>
        <w:tc>
          <w:tcPr>
            <w:tcW w:w="784" w:type="dxa"/>
            <w:noWrap w:val="0"/>
            <w:vAlign w:val="center"/>
          </w:tcPr>
          <w:p>
            <w:pPr>
              <w:keepNext w:val="0"/>
              <w:keepLines w:val="0"/>
              <w:widowControl/>
              <w:suppressLineNumbers w:val="0"/>
              <w:jc w:val="center"/>
              <w:textAlignment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价格来源省份</w:t>
            </w:r>
          </w:p>
        </w:tc>
        <w:tc>
          <w:tcPr>
            <w:tcW w:w="161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7"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72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第1类</w:t>
            </w:r>
          </w:p>
        </w:tc>
        <w:tc>
          <w:tcPr>
            <w:tcW w:w="163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半顺应性冠脉扩</w:t>
            </w:r>
          </w:p>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张球囊（预扩）</w:t>
            </w:r>
          </w:p>
        </w:tc>
        <w:tc>
          <w:tcPr>
            <w:tcW w:w="158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238"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PTCA球囊扩张导管</w:t>
            </w:r>
          </w:p>
        </w:tc>
        <w:tc>
          <w:tcPr>
            <w:tcW w:w="1209"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23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23"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733" w:type="dxa"/>
            <w:noWrap w:val="0"/>
            <w:vAlign w:val="center"/>
          </w:tcPr>
          <w:p>
            <w:pPr>
              <w:jc w:val="center"/>
              <w:rPr>
                <w:rFonts w:hint="default" w:ascii="宋体" w:hAnsi="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w:t>
            </w:r>
          </w:p>
        </w:tc>
        <w:tc>
          <w:tcPr>
            <w:tcW w:w="1283" w:type="dxa"/>
            <w:noWrap w:val="0"/>
            <w:vAlign w:val="center"/>
          </w:tcPr>
          <w:p>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150</w:t>
            </w:r>
          </w:p>
        </w:tc>
        <w:tc>
          <w:tcPr>
            <w:tcW w:w="784"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山东</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举例数据，正式填写时请予以删除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7"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2</w:t>
            </w:r>
          </w:p>
        </w:tc>
        <w:tc>
          <w:tcPr>
            <w:tcW w:w="72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类</w:t>
            </w:r>
          </w:p>
        </w:tc>
        <w:tc>
          <w:tcPr>
            <w:tcW w:w="163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非顺应性冠脉扩</w:t>
            </w:r>
          </w:p>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张球囊（后扩）</w:t>
            </w:r>
          </w:p>
        </w:tc>
        <w:tc>
          <w:tcPr>
            <w:tcW w:w="158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238"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非顺应性球囊扩张导管</w:t>
            </w:r>
          </w:p>
        </w:tc>
        <w:tc>
          <w:tcPr>
            <w:tcW w:w="1209"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23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23"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733" w:type="dxa"/>
            <w:noWrap w:val="0"/>
            <w:vAlign w:val="center"/>
          </w:tcPr>
          <w:p>
            <w:pPr>
              <w:jc w:val="center"/>
              <w:rPr>
                <w:rFonts w:hint="eastAsia" w:ascii="宋体" w:hAnsi="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w:t>
            </w:r>
          </w:p>
        </w:tc>
        <w:tc>
          <w:tcPr>
            <w:tcW w:w="1283" w:type="dxa"/>
            <w:noWrap w:val="0"/>
            <w:vAlign w:val="center"/>
          </w:tcPr>
          <w:p>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无</w:t>
            </w:r>
          </w:p>
        </w:tc>
        <w:tc>
          <w:tcPr>
            <w:tcW w:w="784"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举例数据，正式填写时请予以删除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37"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3</w:t>
            </w:r>
          </w:p>
        </w:tc>
        <w:tc>
          <w:tcPr>
            <w:tcW w:w="72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第</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类</w:t>
            </w:r>
          </w:p>
        </w:tc>
        <w:tc>
          <w:tcPr>
            <w:tcW w:w="1630" w:type="dxa"/>
            <w:noWrap w:val="0"/>
            <w:vAlign w:val="center"/>
          </w:tcPr>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冠脉药物涂层球</w:t>
            </w:r>
          </w:p>
          <w:p>
            <w:pPr>
              <w:keepNext w:val="0"/>
              <w:keepLines w:val="0"/>
              <w:widowControl/>
              <w:suppressLineNumbers w:val="0"/>
              <w:jc w:val="center"/>
              <w:textAlignment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囊（药球）</w:t>
            </w:r>
          </w:p>
        </w:tc>
        <w:tc>
          <w:tcPr>
            <w:tcW w:w="158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国械注进20193※※※339</w:t>
            </w:r>
          </w:p>
        </w:tc>
        <w:tc>
          <w:tcPr>
            <w:tcW w:w="1238"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紫</w:t>
            </w:r>
            <w:r>
              <w:rPr>
                <w:rFonts w:hint="eastAsia" w:ascii="宋体" w:hAnsi="宋体" w:eastAsia="宋体" w:cs="宋体"/>
                <w:sz w:val="18"/>
                <w:szCs w:val="18"/>
                <w:highlight w:val="none"/>
                <w:vertAlign w:val="baseline"/>
                <w:lang w:val="en-US" w:eastAsia="zh-CN"/>
              </w:rPr>
              <w:t>杉醇释放冠脉球囊导管</w:t>
            </w:r>
          </w:p>
        </w:tc>
        <w:tc>
          <w:tcPr>
            <w:tcW w:w="1209"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各规格型号</w:t>
            </w:r>
          </w:p>
        </w:tc>
        <w:tc>
          <w:tcPr>
            <w:tcW w:w="1236"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※※※有限公司</w:t>
            </w:r>
          </w:p>
        </w:tc>
        <w:tc>
          <w:tcPr>
            <w:tcW w:w="1223"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1733" w:type="dxa"/>
            <w:noWrap w:val="0"/>
            <w:vAlign w:val="center"/>
          </w:tcPr>
          <w:p>
            <w:pPr>
              <w:jc w:val="center"/>
              <w:rPr>
                <w:rFonts w:hint="eastAsia" w:ascii="宋体" w:hAnsi="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w:t>
            </w:r>
          </w:p>
        </w:tc>
        <w:tc>
          <w:tcPr>
            <w:tcW w:w="1283" w:type="dxa"/>
            <w:noWrap w:val="0"/>
            <w:vAlign w:val="center"/>
          </w:tcPr>
          <w:p>
            <w:pPr>
              <w:jc w:val="center"/>
              <w:rPr>
                <w:rFonts w:hint="default" w:ascii="宋体" w:hAnsi="宋体" w:eastAsia="宋体" w:cs="宋体"/>
                <w:sz w:val="18"/>
                <w:szCs w:val="18"/>
                <w:highlight w:val="none"/>
                <w:vertAlign w:val="baseline"/>
                <w:lang w:val="en-US" w:eastAsia="zh-CN"/>
              </w:rPr>
            </w:pPr>
            <w:r>
              <w:rPr>
                <w:rFonts w:hint="eastAsia" w:ascii="宋体" w:hAnsi="宋体" w:cs="宋体"/>
                <w:sz w:val="18"/>
                <w:szCs w:val="18"/>
                <w:highlight w:val="none"/>
                <w:vertAlign w:val="baseline"/>
                <w:lang w:val="en-US" w:eastAsia="zh-CN"/>
              </w:rPr>
              <w:t>300</w:t>
            </w:r>
          </w:p>
        </w:tc>
        <w:tc>
          <w:tcPr>
            <w:tcW w:w="784"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河北</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5"/>
                <w:szCs w:val="15"/>
                <w:highlight w:val="none"/>
                <w:vertAlign w:val="baseline"/>
                <w:lang w:val="en-US" w:eastAsia="zh-CN"/>
              </w:rPr>
            </w:pPr>
            <w:r>
              <w:rPr>
                <w:rFonts w:hint="eastAsia" w:ascii="宋体" w:hAnsi="宋体" w:eastAsia="宋体" w:cs="宋体"/>
                <w:sz w:val="15"/>
                <w:szCs w:val="15"/>
                <w:highlight w:val="none"/>
                <w:lang w:val="en-US" w:eastAsia="zh-CN"/>
              </w:rPr>
              <w:t>举例数据，正式填写时请予以删除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37" w:type="dxa"/>
            <w:noWrap w:val="0"/>
            <w:vAlign w:val="center"/>
          </w:tcPr>
          <w:p>
            <w:p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c>
          <w:tcPr>
            <w:tcW w:w="7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586"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238"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209"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236"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223"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733"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283"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784" w:type="dxa"/>
            <w:noWrap w:val="0"/>
            <w:vAlign w:val="center"/>
          </w:tcPr>
          <w:p>
            <w:pPr>
              <w:jc w:val="center"/>
              <w:rPr>
                <w:rFonts w:hint="eastAsia" w:ascii="宋体" w:hAnsi="宋体" w:eastAsia="宋体" w:cs="宋体"/>
                <w:sz w:val="18"/>
                <w:szCs w:val="18"/>
                <w:highlight w:val="none"/>
                <w:vertAlign w:val="baseline"/>
                <w:lang w:val="en-US" w:eastAsia="zh-CN"/>
              </w:rPr>
            </w:pPr>
          </w:p>
        </w:tc>
        <w:tc>
          <w:tcPr>
            <w:tcW w:w="1616" w:type="dxa"/>
            <w:noWrap w:val="0"/>
            <w:vAlign w:val="center"/>
          </w:tcPr>
          <w:p>
            <w:pPr>
              <w:jc w:val="center"/>
              <w:rPr>
                <w:rFonts w:hint="eastAsia" w:ascii="宋体" w:hAnsi="宋体" w:eastAsia="宋体" w:cs="宋体"/>
                <w:sz w:val="18"/>
                <w:szCs w:val="18"/>
                <w:highlight w:val="none"/>
                <w:vertAlign w:val="baseline"/>
                <w:lang w:val="en-US" w:eastAsia="zh-CN"/>
              </w:rPr>
            </w:pPr>
          </w:p>
        </w:tc>
      </w:tr>
    </w:tbl>
    <w:p>
      <w:p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填表说明：</w:t>
      </w:r>
    </w:p>
    <w:p>
      <w:p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1.企业报价按正整数申报价格，以最小使用单位（个）为计价单位，申报价货币单位为人民币（元）；</w:t>
      </w:r>
    </w:p>
    <w:p>
      <w:pPr>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2.“类别”及“类别名称”请按照《冠脉球囊类医用耗材联盟集中带量采购协议期满后采购文件》（采购文件编号：GDYJHCDLJX202301）的分类制式填写；</w:t>
      </w:r>
    </w:p>
    <w:p>
      <w:pPr>
        <w:numPr>
          <w:ilvl w:val="0"/>
          <w:numId w:val="0"/>
        </w:numP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3.“带量采购最低价”为对应产品首年签约期满前新产生的全国各省集中带量采购最低中选价格；同类别同注册证中选规格型号存在多个不同价格的，按就低原则取低值进行申报；</w:t>
      </w:r>
      <w:bookmarkStart w:id="0" w:name="_GoBack"/>
      <w:bookmarkEnd w:id="0"/>
    </w:p>
    <w:p>
      <w:pPr>
        <w:numPr>
          <w:ilvl w:val="0"/>
          <w:numId w:val="0"/>
        </w:numP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4.以上填写信息为举例数据，正式填写时请予以删除。</w:t>
      </w:r>
    </w:p>
    <w:p>
      <w:pPr>
        <w:wordWrap w:val="0"/>
        <w:spacing w:line="240" w:lineRule="auto"/>
        <w:jc w:val="center"/>
        <w:rPr>
          <w:rFonts w:ascii="仿宋_GB2312" w:eastAsia="仿宋_GB2312"/>
          <w:sz w:val="24"/>
          <w:szCs w:val="24"/>
        </w:rPr>
      </w:pPr>
      <w:r>
        <w:rPr>
          <w:rFonts w:hint="eastAsia" w:ascii="仿宋_GB2312" w:eastAsia="仿宋_GB2312"/>
          <w:sz w:val="30"/>
          <w:szCs w:val="30"/>
          <w:lang w:val="en-US" w:eastAsia="zh-CN"/>
        </w:rPr>
        <w:t xml:space="preserve">                               </w:t>
      </w:r>
      <w:r>
        <w:rPr>
          <w:rFonts w:hint="eastAsia" w:ascii="仿宋_GB2312" w:eastAsia="仿宋_GB2312"/>
          <w:sz w:val="24"/>
          <w:szCs w:val="24"/>
          <w:lang w:val="en-US" w:eastAsia="zh-CN"/>
        </w:rPr>
        <w:t xml:space="preserve">  申报</w:t>
      </w:r>
      <w:r>
        <w:rPr>
          <w:rFonts w:hint="eastAsia" w:ascii="仿宋_GB2312" w:eastAsia="仿宋_GB2312"/>
          <w:sz w:val="24"/>
          <w:szCs w:val="24"/>
        </w:rPr>
        <w:t>企业(盖章):</w:t>
      </w:r>
      <w:r>
        <w:rPr>
          <w:rFonts w:ascii="仿宋_GB2312" w:eastAsia="仿宋_GB2312"/>
          <w:sz w:val="24"/>
          <w:szCs w:val="24"/>
        </w:rPr>
        <w:t xml:space="preserve">        </w:t>
      </w:r>
    </w:p>
    <w:p>
      <w:pPr>
        <w:wordWrap w:val="0"/>
        <w:spacing w:line="240" w:lineRule="auto"/>
        <w:jc w:val="center"/>
        <w:rPr>
          <w:rFonts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法定代表人（签字）:</w:t>
      </w:r>
      <w:r>
        <w:rPr>
          <w:rFonts w:ascii="仿宋_GB2312" w:eastAsia="仿宋_GB2312"/>
          <w:sz w:val="24"/>
          <w:szCs w:val="24"/>
        </w:rPr>
        <w:t xml:space="preserve">        </w:t>
      </w:r>
    </w:p>
    <w:p>
      <w:pPr>
        <w:numPr>
          <w:ilvl w:val="0"/>
          <w:numId w:val="0"/>
        </w:numPr>
        <w:spacing w:line="240" w:lineRule="auto"/>
        <w:ind w:left="1200" w:leftChars="0"/>
        <w:jc w:val="center"/>
        <w:rPr>
          <w:rFonts w:hint="default" w:ascii="仿宋_GB2312" w:hAnsi="仿宋_GB2312" w:eastAsia="仿宋_GB2312" w:cs="仿宋_GB2312"/>
          <w:sz w:val="24"/>
          <w:szCs w:val="24"/>
          <w:highlight w:val="none"/>
          <w:lang w:val="en-US" w:eastAsia="zh-CN"/>
        </w:rPr>
      </w:pPr>
      <w:r>
        <w:rPr>
          <w:rFonts w:hint="eastAsia" w:ascii="仿宋_GB2312" w:eastAsia="仿宋_GB2312"/>
          <w:sz w:val="24"/>
          <w:szCs w:val="24"/>
          <w:lang w:val="en-US" w:eastAsia="zh-CN"/>
        </w:rPr>
        <w:t xml:space="preserve">                      </w:t>
      </w:r>
      <w:r>
        <w:rPr>
          <w:rFonts w:hint="eastAsia" w:ascii="仿宋_GB2312" w:eastAsia="仿宋_GB2312"/>
          <w:sz w:val="24"/>
          <w:szCs w:val="24"/>
        </w:rPr>
        <w:t>20</w:t>
      </w:r>
      <w:r>
        <w:rPr>
          <w:rFonts w:hint="eastAsia" w:ascii="仿宋_GB2312" w:eastAsia="仿宋_GB2312"/>
          <w:sz w:val="24"/>
          <w:szCs w:val="24"/>
          <w:lang w:val="en-US" w:eastAsia="zh-CN"/>
        </w:rPr>
        <w:t>24</w:t>
      </w:r>
      <w:r>
        <w:rPr>
          <w:rFonts w:ascii="仿宋_GB2312" w:eastAsia="仿宋_GB2312"/>
          <w:sz w:val="24"/>
          <w:szCs w:val="24"/>
        </w:rPr>
        <w:t xml:space="preserve"> </w:t>
      </w:r>
      <w:r>
        <w:rPr>
          <w:rFonts w:hint="eastAsia" w:ascii="仿宋_GB2312" w:eastAsia="仿宋_GB2312"/>
          <w:sz w:val="24"/>
          <w:szCs w:val="24"/>
        </w:rPr>
        <w:t xml:space="preserve">年 </w:t>
      </w:r>
      <w:r>
        <w:rPr>
          <w:rFonts w:ascii="仿宋_GB2312" w:eastAsia="仿宋_GB2312"/>
          <w:sz w:val="24"/>
          <w:szCs w:val="24"/>
        </w:rPr>
        <w:t xml:space="preserve"> </w:t>
      </w:r>
      <w:r>
        <w:rPr>
          <w:rFonts w:hint="eastAsia" w:ascii="仿宋_GB2312" w:eastAsia="仿宋_GB2312"/>
          <w:sz w:val="24"/>
          <w:szCs w:val="24"/>
        </w:rPr>
        <w:t xml:space="preserve">月 </w:t>
      </w:r>
      <w:r>
        <w:rPr>
          <w:rFonts w:ascii="仿宋_GB2312" w:eastAsia="仿宋_GB2312"/>
          <w:sz w:val="24"/>
          <w:szCs w:val="24"/>
        </w:rPr>
        <w:t xml:space="preserve"> </w:t>
      </w:r>
      <w:r>
        <w:rPr>
          <w:rFonts w:hint="eastAsia" w:ascii="仿宋_GB2312" w:eastAsia="仿宋_GB2312"/>
          <w:sz w:val="24"/>
          <w:szCs w:val="24"/>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2D93601E-1783-43A1-AD38-C7862B7F34E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4F9412BB-6110-4C88-8C98-ED0292C8850D}"/>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 w:name="KGWebUrl" w:val="https://oa.gdaee.com.cn/sys/attachment/sys_att_main/jg_service.jsp"/>
  </w:docVars>
  <w:rsids>
    <w:rsidRoot w:val="00000000"/>
    <w:rsid w:val="059D6765"/>
    <w:rsid w:val="095F7A2A"/>
    <w:rsid w:val="09A834E2"/>
    <w:rsid w:val="17451995"/>
    <w:rsid w:val="17A87F98"/>
    <w:rsid w:val="17C140B4"/>
    <w:rsid w:val="188C1DDE"/>
    <w:rsid w:val="190C11D8"/>
    <w:rsid w:val="22A91D2C"/>
    <w:rsid w:val="2C9917B7"/>
    <w:rsid w:val="33E300CC"/>
    <w:rsid w:val="51AA5C20"/>
    <w:rsid w:val="62353F2E"/>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546</Words>
  <Characters>602</Characters>
  <Lines>0</Lines>
  <Paragraphs>0</Paragraphs>
  <TotalTime>0</TotalTime>
  <ScaleCrop>false</ScaleCrop>
  <LinksUpToDate>false</LinksUpToDate>
  <CharactersWithSpaces>714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徐芳</cp:lastModifiedBy>
  <dcterms:modified xsi:type="dcterms:W3CDTF">2024-12-10T11:25:51Z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B7944BEE30BB49C7B6CB2C543F6F58DB</vt:lpwstr>
  </property>
</Properties>
</file>