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cstheme="minorEastAsia"/>
          <w:sz w:val="44"/>
          <w:szCs w:val="44"/>
          <w:lang w:val="en-US" w:eastAsia="zh-CN"/>
        </w:rPr>
      </w:pPr>
      <w:r>
        <w:rPr>
          <w:rFonts w:hint="eastAsia" w:asciiTheme="minorEastAsia" w:hAnsiTheme="minorEastAsia" w:eastAsiaTheme="minorEastAsia" w:cstheme="minorEastAsia"/>
          <w:sz w:val="44"/>
          <w:szCs w:val="44"/>
          <w:lang w:val="en-US" w:eastAsia="zh-CN"/>
        </w:rPr>
        <w:t>结算账户</w:t>
      </w:r>
      <w:r>
        <w:rPr>
          <w:rFonts w:hint="eastAsia" w:asciiTheme="minorEastAsia" w:hAnsiTheme="minorEastAsia" w:cstheme="minorEastAsia"/>
          <w:sz w:val="44"/>
          <w:szCs w:val="44"/>
          <w:lang w:val="en-US" w:eastAsia="zh-CN"/>
        </w:rPr>
        <w:t>维护操作手册</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cstheme="minorEastAsia"/>
          <w:sz w:val="44"/>
          <w:szCs w:val="44"/>
          <w:lang w:val="en-US" w:eastAsia="zh-CN"/>
        </w:rPr>
      </w:pPr>
      <w:r>
        <w:rPr>
          <w:rFonts w:hint="eastAsia" w:asciiTheme="minorEastAsia" w:hAnsiTheme="minorEastAsia" w:cstheme="minorEastAsia"/>
          <w:sz w:val="44"/>
          <w:szCs w:val="44"/>
          <w:lang w:val="en-US" w:eastAsia="zh-CN"/>
        </w:rPr>
        <w:t>（配送企业）</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cstheme="minor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cstheme="minorEastAsia"/>
          <w:sz w:val="44"/>
          <w:szCs w:val="44"/>
          <w:lang w:val="en-US" w:eastAsia="zh-CN"/>
        </w:rPr>
      </w:pPr>
      <w:bookmarkStart w:id="0" w:name="_GoBack"/>
      <w:bookmarkEnd w:id="0"/>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cstheme="minor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cstheme="minor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cstheme="minor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cstheme="minor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cstheme="minor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cstheme="minor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cstheme="minor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cstheme="minor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cstheme="minor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cstheme="minor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cstheme="minor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cstheme="minor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cstheme="minor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cstheme="minor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cstheme="minor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cstheme="minor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cstheme="minor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cstheme="minor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cstheme="minorEastAsia"/>
          <w:sz w:val="44"/>
          <w:szCs w:val="44"/>
          <w:lang w:val="en-US" w:eastAsia="zh-CN"/>
        </w:rPr>
      </w:pPr>
    </w:p>
    <w:p>
      <w:pPr>
        <w:pStyle w:val="2"/>
        <w:keepNext/>
        <w:keepLines/>
        <w:pageBreakBefore w:val="0"/>
        <w:widowControl/>
        <w:numPr>
          <w:ilvl w:val="0"/>
          <w:numId w:val="1"/>
        </w:numPr>
        <w:kinsoku/>
        <w:wordWrap/>
        <w:overflowPunct/>
        <w:topLinePunct w:val="0"/>
        <w:autoSpaceDE/>
        <w:autoSpaceDN/>
        <w:bidi w:val="0"/>
        <w:adjustRightInd/>
        <w:snapToGrid/>
        <w:spacing w:before="313" w:beforeLines="100" w:after="313" w:afterLines="100" w:line="300" w:lineRule="auto"/>
        <w:ind w:left="425" w:leftChars="0" w:hanging="425" w:firstLineChars="0"/>
        <w:jc w:val="left"/>
        <w:textAlignment w:val="auto"/>
        <w:outlineLvl w:val="0"/>
        <w:rPr>
          <w:rFonts w:hint="default" w:asciiTheme="minorEastAsia" w:hAnsiTheme="minorEastAsia" w:cstheme="minorEastAsia"/>
          <w:sz w:val="44"/>
          <w:szCs w:val="44"/>
          <w:lang w:val="en-US" w:eastAsia="zh-CN"/>
        </w:rPr>
      </w:pPr>
      <w:r>
        <w:rPr>
          <w:rFonts w:hint="eastAsia" w:asciiTheme="minorEastAsia" w:hAnsiTheme="minorEastAsia" w:cstheme="minorEastAsia"/>
          <w:sz w:val="44"/>
          <w:szCs w:val="44"/>
          <w:lang w:val="en-US" w:eastAsia="zh-CN"/>
        </w:rPr>
        <w:t>结算账户报送</w:t>
      </w:r>
    </w:p>
    <w:p>
      <w:pPr>
        <w:widowControl/>
        <w:spacing w:line="360" w:lineRule="auto"/>
        <w:ind w:firstLine="420"/>
        <w:jc w:val="left"/>
        <w:rPr>
          <w:rFonts w:hint="eastAsia"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【业务描述】</w:t>
      </w:r>
    </w:p>
    <w:p>
      <w:pPr>
        <w:widowControl/>
        <w:spacing w:line="360" w:lineRule="auto"/>
        <w:ind w:firstLine="420"/>
        <w:jc w:val="left"/>
        <w:rPr>
          <w:rFonts w:hint="eastAsia"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需要在内蒙古医药集中采购平台开展药品或医用耗材网上采购结算业务，符合条件的配送企业直接申请登记收款账户信息。</w:t>
      </w:r>
    </w:p>
    <w:p>
      <w:pPr>
        <w:widowControl/>
        <w:spacing w:line="360" w:lineRule="auto"/>
        <w:ind w:firstLine="420"/>
        <w:jc w:val="left"/>
        <w:rPr>
          <w:rFonts w:hint="default"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【备注】操作手册中涉及内容均为测试数据。</w:t>
      </w:r>
    </w:p>
    <w:p>
      <w:pPr>
        <w:pStyle w:val="3"/>
        <w:keepNext/>
        <w:keepLines/>
        <w:pageBreakBefore w:val="0"/>
        <w:widowControl/>
        <w:numPr>
          <w:ilvl w:val="0"/>
          <w:numId w:val="0"/>
        </w:numPr>
        <w:kinsoku/>
        <w:wordWrap/>
        <w:overflowPunct/>
        <w:topLinePunct w:val="0"/>
        <w:autoSpaceDE/>
        <w:autoSpaceDN/>
        <w:bidi w:val="0"/>
        <w:adjustRightInd/>
        <w:snapToGrid/>
        <w:spacing w:before="0" w:after="0" w:line="300" w:lineRule="auto"/>
        <w:ind w:leftChars="0"/>
        <w:jc w:val="left"/>
        <w:textAlignment w:val="auto"/>
        <w:outlineLvl w:val="2"/>
        <w:rPr>
          <w:rFonts w:hint="default" w:ascii="宋体" w:hAnsi="宋体" w:eastAsia="宋体" w:cs="宋体"/>
          <w:kern w:val="0"/>
          <w:lang w:val="en-US" w:eastAsia="zh-CN"/>
        </w:rPr>
      </w:pPr>
      <w:r>
        <w:rPr>
          <w:rFonts w:hint="eastAsia" w:ascii="宋体" w:hAnsi="宋体" w:eastAsia="宋体" w:cs="宋体"/>
          <w:kern w:val="0"/>
          <w:lang w:val="en-US" w:eastAsia="zh-CN"/>
        </w:rPr>
        <w:t>1.1用户</w:t>
      </w:r>
      <w:r>
        <w:rPr>
          <w:rFonts w:hint="eastAsia" w:asciiTheme="majorEastAsia" w:hAnsiTheme="majorEastAsia" w:eastAsiaTheme="majorEastAsia" w:cstheme="majorEastAsia"/>
          <w:kern w:val="0"/>
          <w:lang w:val="en-US" w:eastAsia="zh-CN"/>
        </w:rPr>
        <w:t>登录</w:t>
      </w:r>
    </w:p>
    <w:p>
      <w:pPr>
        <w:widowControl/>
        <w:spacing w:line="360" w:lineRule="auto"/>
        <w:ind w:firstLine="420"/>
        <w:jc w:val="left"/>
        <w:rPr>
          <w:rFonts w:hint="eastAsia"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所有配送企业完成注册，通过https://www.nmgybggfw.org.cn/hallEnter/#/Index进行登录。</w:t>
      </w:r>
    </w:p>
    <w:p>
      <w:pPr>
        <w:widowControl/>
        <w:spacing w:line="360" w:lineRule="auto"/>
        <w:jc w:val="left"/>
      </w:pPr>
      <w:r>
        <w:drawing>
          <wp:inline distT="0" distB="0" distL="114300" distR="114300">
            <wp:extent cx="5273675" cy="2190750"/>
            <wp:effectExtent l="0" t="0" r="9525" b="190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3675" cy="2190750"/>
                    </a:xfrm>
                    <a:prstGeom prst="rect">
                      <a:avLst/>
                    </a:prstGeom>
                    <a:noFill/>
                    <a:ln>
                      <a:noFill/>
                    </a:ln>
                  </pic:spPr>
                </pic:pic>
              </a:graphicData>
            </a:graphic>
          </wp:inline>
        </w:drawing>
      </w:r>
    </w:p>
    <w:p>
      <w:pPr>
        <w:pStyle w:val="3"/>
        <w:keepNext/>
        <w:keepLines/>
        <w:pageBreakBefore w:val="0"/>
        <w:widowControl/>
        <w:numPr>
          <w:ilvl w:val="0"/>
          <w:numId w:val="0"/>
        </w:numPr>
        <w:kinsoku/>
        <w:wordWrap/>
        <w:overflowPunct/>
        <w:topLinePunct w:val="0"/>
        <w:autoSpaceDE/>
        <w:autoSpaceDN/>
        <w:bidi w:val="0"/>
        <w:adjustRightInd/>
        <w:snapToGrid/>
        <w:spacing w:before="0" w:after="0" w:line="300" w:lineRule="auto"/>
        <w:ind w:leftChars="0"/>
        <w:jc w:val="left"/>
        <w:textAlignment w:val="auto"/>
        <w:outlineLvl w:val="2"/>
        <w:rPr>
          <w:rFonts w:hint="eastAsia" w:ascii="宋体" w:hAnsi="宋体" w:eastAsia="宋体" w:cs="宋体"/>
          <w:kern w:val="0"/>
          <w:lang w:val="en-US" w:eastAsia="zh-CN"/>
        </w:rPr>
      </w:pPr>
      <w:r>
        <w:rPr>
          <w:rFonts w:hint="eastAsia" w:ascii="宋体" w:hAnsi="宋体" w:eastAsia="宋体" w:cs="宋体"/>
          <w:kern w:val="0"/>
          <w:lang w:val="en-US" w:eastAsia="zh-CN"/>
        </w:rPr>
        <w:t>1.2招采企业服务</w:t>
      </w:r>
    </w:p>
    <w:p>
      <w:pPr>
        <w:widowControl/>
        <w:spacing w:line="360" w:lineRule="auto"/>
        <w:ind w:firstLine="420"/>
        <w:jc w:val="left"/>
        <w:rPr>
          <w:rFonts w:hint="default"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通过账号信息完成登录，点击【招采企业服务】。</w:t>
      </w:r>
    </w:p>
    <w:p>
      <w:pPr>
        <w:widowControl/>
        <w:spacing w:line="360" w:lineRule="auto"/>
        <w:jc w:val="left"/>
      </w:pPr>
      <w:r>
        <w:drawing>
          <wp:inline distT="0" distB="0" distL="114300" distR="114300">
            <wp:extent cx="5271135" cy="2767330"/>
            <wp:effectExtent l="0" t="0" r="12065"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1135" cy="2767330"/>
                    </a:xfrm>
                    <a:prstGeom prst="rect">
                      <a:avLst/>
                    </a:prstGeom>
                    <a:noFill/>
                    <a:ln>
                      <a:noFill/>
                    </a:ln>
                  </pic:spPr>
                </pic:pic>
              </a:graphicData>
            </a:graphic>
          </wp:inline>
        </w:drawing>
      </w:r>
    </w:p>
    <w:p>
      <w:pPr>
        <w:pStyle w:val="3"/>
        <w:keepNext/>
        <w:keepLines/>
        <w:pageBreakBefore w:val="0"/>
        <w:widowControl/>
        <w:numPr>
          <w:ilvl w:val="0"/>
          <w:numId w:val="0"/>
        </w:numPr>
        <w:kinsoku/>
        <w:wordWrap/>
        <w:overflowPunct/>
        <w:topLinePunct w:val="0"/>
        <w:autoSpaceDE/>
        <w:autoSpaceDN/>
        <w:bidi w:val="0"/>
        <w:adjustRightInd/>
        <w:snapToGrid/>
        <w:spacing w:before="0" w:after="0" w:line="300" w:lineRule="auto"/>
        <w:ind w:leftChars="0"/>
        <w:jc w:val="left"/>
        <w:textAlignment w:val="auto"/>
        <w:outlineLvl w:val="2"/>
        <w:rPr>
          <w:rFonts w:hint="eastAsia" w:ascii="宋体" w:hAnsi="宋体" w:eastAsia="宋体" w:cs="宋体"/>
          <w:kern w:val="0"/>
          <w:lang w:val="en-US" w:eastAsia="zh-CN"/>
        </w:rPr>
      </w:pPr>
      <w:r>
        <w:rPr>
          <w:rFonts w:hint="eastAsia" w:ascii="宋体" w:hAnsi="宋体" w:eastAsia="宋体" w:cs="宋体"/>
          <w:kern w:val="0"/>
          <w:lang w:val="en-US" w:eastAsia="zh-CN"/>
        </w:rPr>
        <w:t>1.3医药采购网上业务办理</w:t>
      </w:r>
    </w:p>
    <w:p>
      <w:pPr>
        <w:widowControl/>
        <w:spacing w:line="360" w:lineRule="auto"/>
        <w:ind w:firstLine="420"/>
        <w:jc w:val="left"/>
        <w:rPr>
          <w:rFonts w:hint="default"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点击医药采购网上业务办理系统，在此系统中维护配送企业结算账户信息。</w:t>
      </w:r>
    </w:p>
    <w:p>
      <w:pPr>
        <w:widowControl/>
        <w:spacing w:line="360" w:lineRule="auto"/>
        <w:jc w:val="left"/>
      </w:pPr>
      <w:r>
        <w:drawing>
          <wp:inline distT="0" distB="0" distL="114300" distR="114300">
            <wp:extent cx="5262880" cy="2781935"/>
            <wp:effectExtent l="0" t="0" r="20320"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2880" cy="2781935"/>
                    </a:xfrm>
                    <a:prstGeom prst="rect">
                      <a:avLst/>
                    </a:prstGeom>
                    <a:noFill/>
                    <a:ln>
                      <a:noFill/>
                    </a:ln>
                  </pic:spPr>
                </pic:pic>
              </a:graphicData>
            </a:graphic>
          </wp:inline>
        </w:drawing>
      </w:r>
    </w:p>
    <w:p>
      <w:pPr>
        <w:pStyle w:val="3"/>
        <w:keepNext/>
        <w:keepLines/>
        <w:pageBreakBefore w:val="0"/>
        <w:widowControl/>
        <w:numPr>
          <w:ilvl w:val="0"/>
          <w:numId w:val="0"/>
        </w:numPr>
        <w:kinsoku/>
        <w:wordWrap/>
        <w:overflowPunct/>
        <w:topLinePunct w:val="0"/>
        <w:autoSpaceDE/>
        <w:autoSpaceDN/>
        <w:bidi w:val="0"/>
        <w:adjustRightInd/>
        <w:snapToGrid/>
        <w:spacing w:before="0" w:after="0" w:line="300" w:lineRule="auto"/>
        <w:ind w:leftChars="0"/>
        <w:jc w:val="left"/>
        <w:textAlignment w:val="auto"/>
        <w:outlineLvl w:val="2"/>
        <w:rPr>
          <w:rFonts w:hint="eastAsia" w:ascii="宋体" w:hAnsi="宋体" w:eastAsia="宋体" w:cs="宋体"/>
          <w:kern w:val="0"/>
          <w:lang w:val="en-US" w:eastAsia="zh-CN"/>
        </w:rPr>
      </w:pPr>
      <w:r>
        <w:rPr>
          <w:rFonts w:hint="eastAsia" w:ascii="宋体" w:hAnsi="宋体" w:eastAsia="宋体" w:cs="宋体"/>
          <w:kern w:val="0"/>
          <w:lang w:val="en-US" w:eastAsia="zh-CN"/>
        </w:rPr>
        <w:t>1.4结算账户登记</w:t>
      </w:r>
    </w:p>
    <w:p>
      <w:pPr>
        <w:widowControl/>
        <w:spacing w:line="360" w:lineRule="auto"/>
        <w:ind w:firstLine="420"/>
        <w:jc w:val="left"/>
        <w:rPr>
          <w:rFonts w:hint="default"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在医药采购网上业务办理系统中选择【结算账户登记】，进入该模块进行信息维护。</w:t>
      </w:r>
    </w:p>
    <w:p>
      <w:pPr>
        <w:widowControl/>
        <w:spacing w:line="360" w:lineRule="auto"/>
        <w:jc w:val="left"/>
      </w:pPr>
      <w:r>
        <w:drawing>
          <wp:inline distT="0" distB="0" distL="114300" distR="114300">
            <wp:extent cx="5269230" cy="2478405"/>
            <wp:effectExtent l="0" t="0" r="13970" b="1079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69230" cy="2478405"/>
                    </a:xfrm>
                    <a:prstGeom prst="rect">
                      <a:avLst/>
                    </a:prstGeom>
                    <a:noFill/>
                    <a:ln>
                      <a:noFill/>
                    </a:ln>
                  </pic:spPr>
                </pic:pic>
              </a:graphicData>
            </a:graphic>
          </wp:inline>
        </w:drawing>
      </w:r>
    </w:p>
    <w:p>
      <w:pPr>
        <w:widowControl/>
        <w:spacing w:line="360" w:lineRule="auto"/>
        <w:ind w:firstLine="420"/>
        <w:jc w:val="left"/>
        <w:rPr>
          <w:rFonts w:hint="default"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配送企业在维护结算账户之前需要完成账号注册、认证工作，配送企业能够正常访问招采子系统，再根据开展业务需要完善药品、医用耗材的结算账户信息。若企业维护业务类型是药品，结算账户只需要维护药品的结算账户；企业维护的业务类型是医用耗材，结算账户只需要维护医用耗材的结算账户；企业维护的业务类型是药品+医用耗材，则需要维护药品和医用耗材的结算账户。</w:t>
      </w:r>
    </w:p>
    <w:p>
      <w:pPr>
        <w:widowControl/>
        <w:spacing w:line="360" w:lineRule="auto"/>
        <w:jc w:val="left"/>
        <w:rPr>
          <w:rFonts w:hint="default"/>
          <w:lang w:val="en-US" w:eastAsia="zh-CN"/>
        </w:rPr>
      </w:pPr>
      <w:r>
        <w:drawing>
          <wp:inline distT="0" distB="0" distL="114300" distR="114300">
            <wp:extent cx="5266690" cy="2440305"/>
            <wp:effectExtent l="0" t="0" r="16510" b="234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6690" cy="2440305"/>
                    </a:xfrm>
                    <a:prstGeom prst="rect">
                      <a:avLst/>
                    </a:prstGeom>
                    <a:noFill/>
                    <a:ln>
                      <a:noFill/>
                    </a:ln>
                  </pic:spPr>
                </pic:pic>
              </a:graphicData>
            </a:graphic>
          </wp:inline>
        </w:drawing>
      </w:r>
    </w:p>
    <w:p>
      <w:pPr>
        <w:widowControl/>
        <w:spacing w:line="360" w:lineRule="auto"/>
        <w:ind w:firstLine="420"/>
        <w:jc w:val="left"/>
        <w:rPr>
          <w:rFonts w:hint="eastAsia"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企业需上传银行开户证明，并加盖企业公章；企业注册名称与结算账户收款方户名不一致的，除银行开户证明外，还需上传名称不一致的情况说明，并加盖企业公章。</w:t>
      </w:r>
    </w:p>
    <w:p>
      <w:pPr>
        <w:widowControl/>
        <w:spacing w:line="360" w:lineRule="auto"/>
        <w:ind w:firstLine="420"/>
        <w:jc w:val="left"/>
        <w:rPr>
          <w:rFonts w:hint="default"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所有带</w:t>
      </w:r>
      <w:r>
        <w:rPr>
          <w:rFonts w:hint="eastAsia" w:ascii="宋体" w:hAnsi="宋体" w:eastAsia="宋体" w:cs="宋体"/>
          <w:color w:val="FF0000"/>
          <w:kern w:val="0"/>
          <w:sz w:val="28"/>
          <w:szCs w:val="28"/>
          <w:lang w:val="en-US" w:eastAsia="zh-CN"/>
        </w:rPr>
        <w:t>*</w:t>
      </w:r>
      <w:r>
        <w:rPr>
          <w:rFonts w:hint="eastAsia" w:ascii="宋体" w:hAnsi="宋体" w:eastAsia="宋体" w:cs="宋体"/>
          <w:kern w:val="0"/>
          <w:sz w:val="28"/>
          <w:szCs w:val="28"/>
          <w:lang w:val="en-US" w:eastAsia="zh-CN"/>
        </w:rPr>
        <w:t>的内容依据实际情况进行维护，维护完成进行【保存】、【立即提交】。</w:t>
      </w:r>
    </w:p>
    <w:p>
      <w:r>
        <w:drawing>
          <wp:inline distT="0" distB="0" distL="114300" distR="114300">
            <wp:extent cx="5266690" cy="2440305"/>
            <wp:effectExtent l="0" t="0" r="16510" b="234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66690" cy="2440305"/>
                    </a:xfrm>
                    <a:prstGeom prst="rect">
                      <a:avLst/>
                    </a:prstGeom>
                    <a:noFill/>
                    <a:ln>
                      <a:noFill/>
                    </a:ln>
                  </pic:spPr>
                </pic:pic>
              </a:graphicData>
            </a:graphic>
          </wp:inline>
        </w:drawing>
      </w:r>
    </w:p>
    <w:p>
      <w:pPr>
        <w:pStyle w:val="2"/>
        <w:keepNext/>
        <w:keepLines/>
        <w:pageBreakBefore w:val="0"/>
        <w:widowControl/>
        <w:numPr>
          <w:ilvl w:val="0"/>
          <w:numId w:val="1"/>
        </w:numPr>
        <w:kinsoku/>
        <w:wordWrap/>
        <w:overflowPunct/>
        <w:topLinePunct w:val="0"/>
        <w:autoSpaceDE/>
        <w:autoSpaceDN/>
        <w:bidi w:val="0"/>
        <w:adjustRightInd/>
        <w:snapToGrid/>
        <w:spacing w:before="313" w:beforeLines="100" w:after="313" w:afterLines="100" w:line="300" w:lineRule="auto"/>
        <w:ind w:left="425" w:leftChars="0" w:hanging="425" w:firstLineChars="0"/>
        <w:jc w:val="left"/>
        <w:textAlignment w:val="auto"/>
        <w:outlineLvl w:val="0"/>
        <w:rPr>
          <w:rFonts w:hint="eastAsia" w:ascii="宋体" w:hAnsi="宋体" w:eastAsia="宋体" w:cs="宋体"/>
          <w:kern w:val="0"/>
          <w:sz w:val="28"/>
          <w:szCs w:val="28"/>
          <w:lang w:val="en-US" w:eastAsia="zh-CN"/>
        </w:rPr>
      </w:pPr>
      <w:r>
        <w:rPr>
          <w:rFonts w:hint="eastAsia" w:asciiTheme="minorEastAsia" w:hAnsiTheme="minorEastAsia" w:cstheme="minorEastAsia"/>
          <w:sz w:val="44"/>
          <w:szCs w:val="44"/>
          <w:lang w:val="en-US" w:eastAsia="zh-CN"/>
        </w:rPr>
        <w:t>结算账户修改</w:t>
      </w:r>
    </w:p>
    <w:p>
      <w:pPr>
        <w:ind w:firstLine="560" w:firstLineChars="200"/>
        <w:rPr>
          <w:rFonts w:hint="default"/>
          <w:lang w:val="en-US" w:eastAsia="zh-CN"/>
        </w:rPr>
      </w:pPr>
      <w:r>
        <w:rPr>
          <w:rFonts w:hint="eastAsia" w:ascii="宋体" w:hAnsi="宋体" w:eastAsia="宋体" w:cs="宋体"/>
          <w:kern w:val="0"/>
          <w:sz w:val="28"/>
          <w:szCs w:val="28"/>
          <w:lang w:val="en-US" w:eastAsia="zh-CN"/>
        </w:rPr>
        <w:t>已报送收款账户信息，现信息有变化，需做变更的配送企业需申请修改收款账户信息。具体操作步骤请参考结算账户报送。</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416B40"/>
    <w:multiLevelType w:val="multilevel"/>
    <w:tmpl w:val="E8416B40"/>
    <w:lvl w:ilvl="0" w:tentative="0">
      <w:start w:val="1"/>
      <w:numFmt w:val="decimal"/>
      <w:lvlText w:val="%1."/>
      <w:lvlJc w:val="left"/>
      <w:pPr>
        <w:ind w:left="425" w:hanging="425"/>
      </w:pPr>
      <w:rPr>
        <w:rFonts w:hint="default"/>
        <w:sz w:val="44"/>
        <w:szCs w:val="44"/>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3MWE4N2Y4Y2NkNDlkNTZhZTQ0NTZlNjI4N2I5NmQifQ=="/>
  </w:docVars>
  <w:rsids>
    <w:rsidRoot w:val="FD73DB3C"/>
    <w:rsid w:val="2A5743B9"/>
    <w:rsid w:val="33720477"/>
    <w:rsid w:val="E555FC7D"/>
    <w:rsid w:val="FD73DB3C"/>
    <w:rsid w:val="FF794A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3">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5">
    <w:name w:val="Default Paragraph Font"/>
    <w:autoRedefine/>
    <w:semiHidden/>
    <w:uiPriority w:val="0"/>
  </w:style>
  <w:style w:type="table" w:default="1" w:styleId="4">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0</Words>
  <Characters>0</Characters>
  <Lines>0</Lines>
  <Paragraphs>0</Paragraphs>
  <TotalTime>5</TotalTime>
  <ScaleCrop>false</ScaleCrop>
  <LinksUpToDate>false</LinksUpToDate>
  <CharactersWithSpaces>0</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2024-09-12T11:44:00Z</dcterms:created>
  <dc:creator>小马</dc:creator>
  <cp:lastModifiedBy>more</cp:lastModifiedBy>
  <dcterms:modified xsi:type="dcterms:W3CDTF">2025-03-04T06:26:05Z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1ED118199BDAFB2F9490E26684C66ABA_43</vt:lpwstr>
  </property>
</Properties>
</file>