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D7C621"/>
    <w:p w14:paraId="14D8E8CF">
      <w:pPr>
        <w:rPr>
          <w:rFonts w:hint="eastAsia" w:ascii="宋体" w:hAnsi="宋体"/>
          <w:b/>
          <w:kern w:val="0"/>
          <w:sz w:val="36"/>
        </w:rPr>
      </w:pPr>
    </w:p>
    <w:p w14:paraId="60681AC0">
      <w:pPr>
        <w:jc w:val="center"/>
        <w:rPr>
          <w:rFonts w:hint="eastAsia" w:ascii="宋体" w:hAnsi="宋体"/>
          <w:b/>
          <w:kern w:val="0"/>
          <w:sz w:val="36"/>
        </w:rPr>
      </w:pPr>
    </w:p>
    <w:p w14:paraId="14D71184">
      <w:pPr>
        <w:jc w:val="center"/>
        <w:rPr>
          <w:rFonts w:hint="eastAsia" w:ascii="宋体" w:hAnsi="宋体"/>
          <w:b/>
          <w:kern w:val="0"/>
          <w:sz w:val="36"/>
        </w:rPr>
      </w:pPr>
    </w:p>
    <w:p w14:paraId="19C7BFA9">
      <w:pPr>
        <w:jc w:val="center"/>
        <w:rPr>
          <w:rFonts w:hint="eastAsia" w:ascii="宋体" w:hAnsi="宋体"/>
          <w:b/>
          <w:kern w:val="0"/>
          <w:sz w:val="36"/>
        </w:rPr>
      </w:pPr>
    </w:p>
    <w:p w14:paraId="1F106D8B">
      <w:pPr>
        <w:jc w:val="center"/>
        <w:rPr>
          <w:rFonts w:hint="eastAsia" w:ascii="宋体" w:hAnsi="宋体"/>
          <w:b/>
          <w:kern w:val="0"/>
          <w:sz w:val="36"/>
        </w:rPr>
      </w:pPr>
    </w:p>
    <w:p w14:paraId="54473B58">
      <w:pPr>
        <w:jc w:val="center"/>
        <w:rPr>
          <w:rFonts w:hint="eastAsia" w:ascii="宋体" w:hAnsi="宋体"/>
          <w:b/>
          <w:kern w:val="0"/>
          <w:sz w:val="36"/>
        </w:rPr>
      </w:pPr>
    </w:p>
    <w:p w14:paraId="4BBC949B">
      <w:pPr>
        <w:jc w:val="center"/>
        <w:rPr>
          <w:rFonts w:hint="eastAsia" w:ascii="宋体" w:hAnsi="宋体"/>
          <w:b/>
          <w:kern w:val="0"/>
          <w:sz w:val="36"/>
        </w:rPr>
      </w:pPr>
    </w:p>
    <w:p w14:paraId="1C9DDEE5">
      <w:pPr>
        <w:jc w:val="center"/>
        <w:rPr>
          <w:rFonts w:ascii="黑体" w:eastAsia="黑体"/>
          <w:b/>
          <w:sz w:val="56"/>
          <w:szCs w:val="48"/>
        </w:rPr>
      </w:pPr>
      <w:r>
        <w:rPr>
          <w:rFonts w:hint="eastAsia" w:ascii="宋体" w:hAnsi="宋体" w:eastAsia="黑体"/>
          <w:b/>
          <w:kern w:val="0"/>
          <w:sz w:val="44"/>
        </w:rPr>
        <w:t>上海市医药采购服务与监管信息系统</w:t>
      </w:r>
    </w:p>
    <w:p w14:paraId="6F7CAFD6">
      <w:pPr>
        <w:spacing w:before="156" w:beforeLines="50" w:line="360" w:lineRule="auto"/>
        <w:jc w:val="center"/>
        <w:rPr>
          <w:rFonts w:hint="eastAsia" w:ascii="仿宋_GB2312" w:hAnsi="宋体" w:eastAsia="仿宋_GB2312"/>
          <w:b/>
          <w:sz w:val="44"/>
        </w:rPr>
      </w:pPr>
      <w:r>
        <w:rPr>
          <w:rFonts w:hint="eastAsia" w:ascii="仿宋_GB2312" w:hAnsi="宋体" w:eastAsia="仿宋_GB2312"/>
          <w:b/>
          <w:sz w:val="40"/>
        </w:rPr>
        <w:t>用户使用手册（分册）</w:t>
      </w:r>
    </w:p>
    <w:p w14:paraId="1D728ADF">
      <w:pPr>
        <w:jc w:val="center"/>
        <w:rPr>
          <w:rFonts w:ascii="宋体"/>
          <w:b/>
          <w:sz w:val="32"/>
        </w:rPr>
      </w:pPr>
    </w:p>
    <w:p w14:paraId="4E4656AA">
      <w:pPr>
        <w:jc w:val="center"/>
        <w:rPr>
          <w:rFonts w:ascii="宋体"/>
          <w:b/>
          <w:sz w:val="32"/>
        </w:rPr>
      </w:pPr>
    </w:p>
    <w:p w14:paraId="7B77A6CC">
      <w:pPr>
        <w:jc w:val="center"/>
        <w:rPr>
          <w:rFonts w:ascii="宋体"/>
          <w:b/>
          <w:sz w:val="32"/>
        </w:rPr>
      </w:pPr>
    </w:p>
    <w:p w14:paraId="3846E7A8">
      <w:pPr>
        <w:jc w:val="center"/>
        <w:rPr>
          <w:rFonts w:ascii="宋体"/>
          <w:b/>
          <w:sz w:val="32"/>
        </w:rPr>
      </w:pPr>
    </w:p>
    <w:p w14:paraId="1331E223">
      <w:pPr>
        <w:jc w:val="center"/>
        <w:rPr>
          <w:rFonts w:ascii="宋体"/>
          <w:b/>
          <w:sz w:val="32"/>
        </w:rPr>
      </w:pPr>
    </w:p>
    <w:p w14:paraId="7BBD24D7">
      <w:pPr>
        <w:jc w:val="center"/>
        <w:rPr>
          <w:rFonts w:ascii="宋体"/>
          <w:b/>
          <w:sz w:val="32"/>
        </w:rPr>
      </w:pPr>
    </w:p>
    <w:p w14:paraId="223B3AED">
      <w:pPr>
        <w:jc w:val="center"/>
        <w:rPr>
          <w:rFonts w:ascii="宋体"/>
          <w:b/>
          <w:sz w:val="32"/>
        </w:rPr>
      </w:pPr>
    </w:p>
    <w:p w14:paraId="55506273">
      <w:pPr>
        <w:jc w:val="center"/>
        <w:rPr>
          <w:rFonts w:ascii="宋体"/>
          <w:b/>
          <w:sz w:val="32"/>
        </w:rPr>
      </w:pPr>
    </w:p>
    <w:p w14:paraId="07DDB324">
      <w:pPr>
        <w:jc w:val="center"/>
        <w:rPr>
          <w:rFonts w:ascii="宋体"/>
          <w:b/>
          <w:sz w:val="32"/>
        </w:rPr>
      </w:pPr>
      <w:r>
        <w:rPr>
          <w:rFonts w:hint="eastAsia" w:ascii="宋体"/>
          <w:b/>
          <w:sz w:val="32"/>
        </w:rPr>
        <w:t>第一版</w:t>
      </w:r>
    </w:p>
    <w:p w14:paraId="5F2E2BFE">
      <w:pPr>
        <w:widowControl/>
        <w:jc w:val="left"/>
        <w:rPr>
          <w:rFonts w:ascii="宋体"/>
          <w:b/>
          <w:sz w:val="32"/>
        </w:rPr>
      </w:pPr>
      <w:r>
        <w:rPr>
          <w:rFonts w:ascii="宋体"/>
          <w:b/>
          <w:sz w:val="32"/>
        </w:rPr>
        <w:br w:type="page"/>
      </w:r>
    </w:p>
    <w:p w14:paraId="095A86CB">
      <w:pPr>
        <w:pStyle w:val="18"/>
      </w:pPr>
      <w:r>
        <w:rPr>
          <w:rFonts w:hint="eastAsia"/>
          <w:lang w:val="zh-CN"/>
        </w:rPr>
        <w:t>目录</w:t>
      </w:r>
    </w:p>
    <w:p w14:paraId="79431ADA">
      <w:pPr>
        <w:pStyle w:val="10"/>
        <w:tabs>
          <w:tab w:val="left" w:pos="420"/>
          <w:tab w:val="right" w:leader="dot" w:pos="8296"/>
        </w:tabs>
        <w:rPr>
          <w:rFonts w:hint="eastAsia" w:asciiTheme="minorHAnsi" w:hAnsiTheme="minorHAnsi" w:eastAsiaTheme="minorEastAsia" w:cstheme="minorBidi"/>
          <w:sz w:val="22"/>
          <w:szCs w:val="24"/>
          <w14:ligatures w14:val="standardContextual"/>
        </w:rPr>
      </w:pPr>
      <w:r>
        <w:fldChar w:fldCharType="begin"/>
      </w:r>
      <w:r>
        <w:instrText xml:space="preserve"> TOC \o "1-3" \h \z \u </w:instrText>
      </w:r>
      <w:r>
        <w:fldChar w:fldCharType="separate"/>
      </w:r>
      <w:r>
        <w:fldChar w:fldCharType="begin"/>
      </w:r>
      <w:r>
        <w:instrText xml:space="preserve"> HYPERLINK \l "_Toc190853411" </w:instrText>
      </w:r>
      <w:r>
        <w:fldChar w:fldCharType="separate"/>
      </w:r>
      <w:r>
        <w:rPr>
          <w:rStyle w:val="14"/>
          <w:rFonts w:hint="eastAsia"/>
        </w:rPr>
        <w:t>1.</w:t>
      </w:r>
      <w:r>
        <w:rPr>
          <w:rFonts w:hint="eastAsia" w:asciiTheme="minorHAnsi" w:hAnsiTheme="minorHAnsi" w:eastAsiaTheme="minorEastAsia" w:cstheme="minorBidi"/>
          <w:sz w:val="22"/>
          <w:szCs w:val="24"/>
          <w14:ligatures w14:val="standardContextual"/>
        </w:rPr>
        <w:tab/>
      </w:r>
      <w:r>
        <w:rPr>
          <w:rStyle w:val="14"/>
          <w:rFonts w:hint="eastAsia"/>
        </w:rPr>
        <w:t>耗材集采</w:t>
      </w:r>
      <w:r>
        <w:rPr>
          <w:rFonts w:hint="eastAsia"/>
        </w:rPr>
        <w:tab/>
      </w:r>
      <w:r>
        <w:rPr>
          <w:rFonts w:hint="eastAsia"/>
        </w:rPr>
        <w:fldChar w:fldCharType="begin"/>
      </w:r>
      <w:r>
        <w:rPr>
          <w:rFonts w:hint="eastAsia"/>
        </w:rPr>
        <w:instrText xml:space="preserve"> </w:instrText>
      </w:r>
      <w:r>
        <w:instrText xml:space="preserve">PAGEREF _Toc190853411 \h</w:instrText>
      </w:r>
      <w:r>
        <w:rPr>
          <w:rFonts w:hint="eastAsia"/>
        </w:rPr>
        <w:instrText xml:space="preserve"> </w:instrText>
      </w:r>
      <w:r>
        <w:fldChar w:fldCharType="separate"/>
      </w:r>
      <w:r>
        <w:t>1</w:t>
      </w:r>
      <w:r>
        <w:rPr>
          <w:rFonts w:hint="eastAsia"/>
        </w:rPr>
        <w:fldChar w:fldCharType="end"/>
      </w:r>
      <w:r>
        <w:rPr>
          <w:rFonts w:hint="eastAsia"/>
        </w:rPr>
        <w:fldChar w:fldCharType="end"/>
      </w:r>
    </w:p>
    <w:p w14:paraId="1E6A1190">
      <w:pPr>
        <w:pStyle w:val="11"/>
        <w:tabs>
          <w:tab w:val="left" w:pos="1100"/>
          <w:tab w:val="right" w:leader="dot" w:pos="8296"/>
        </w:tabs>
        <w:rPr>
          <w:rFonts w:hint="eastAsia" w:asciiTheme="minorHAnsi" w:hAnsiTheme="minorHAnsi" w:eastAsiaTheme="minorEastAsia" w:cstheme="minorBidi"/>
          <w:sz w:val="22"/>
          <w:szCs w:val="24"/>
          <w14:ligatures w14:val="standardContextual"/>
        </w:rPr>
      </w:pPr>
      <w:r>
        <w:fldChar w:fldCharType="begin"/>
      </w:r>
      <w:r>
        <w:instrText xml:space="preserve"> HYPERLINK \l "_Toc190853412" </w:instrText>
      </w:r>
      <w:r>
        <w:fldChar w:fldCharType="separate"/>
      </w:r>
      <w:r>
        <w:rPr>
          <w:rStyle w:val="14"/>
          <w:rFonts w:hint="eastAsia"/>
        </w:rPr>
        <w:t>1.1.</w:t>
      </w:r>
      <w:r>
        <w:rPr>
          <w:rFonts w:hint="eastAsia" w:asciiTheme="minorHAnsi" w:hAnsiTheme="minorHAnsi" w:eastAsiaTheme="minorEastAsia" w:cstheme="minorBidi"/>
          <w:sz w:val="22"/>
          <w:szCs w:val="24"/>
          <w14:ligatures w14:val="standardContextual"/>
        </w:rPr>
        <w:tab/>
      </w:r>
      <w:r>
        <w:rPr>
          <w:rStyle w:val="14"/>
          <w:rFonts w:hint="eastAsia"/>
        </w:rPr>
        <w:t>骨科创伤类协议采购量分配</w:t>
      </w:r>
      <w:r>
        <w:rPr>
          <w:rFonts w:hint="eastAsia"/>
        </w:rPr>
        <w:tab/>
      </w:r>
      <w:r>
        <w:rPr>
          <w:rFonts w:hint="eastAsia"/>
        </w:rPr>
        <w:fldChar w:fldCharType="begin"/>
      </w:r>
      <w:r>
        <w:rPr>
          <w:rFonts w:hint="eastAsia"/>
        </w:rPr>
        <w:instrText xml:space="preserve"> </w:instrText>
      </w:r>
      <w:r>
        <w:instrText xml:space="preserve">PAGEREF _Toc190853412 \h</w:instrText>
      </w:r>
      <w:r>
        <w:rPr>
          <w:rFonts w:hint="eastAsia"/>
        </w:rPr>
        <w:instrText xml:space="preserve"> </w:instrText>
      </w:r>
      <w:r>
        <w:fldChar w:fldCharType="separate"/>
      </w:r>
      <w:r>
        <w:t>1</w:t>
      </w:r>
      <w:r>
        <w:rPr>
          <w:rFonts w:hint="eastAsia"/>
        </w:rPr>
        <w:fldChar w:fldCharType="end"/>
      </w:r>
      <w:r>
        <w:rPr>
          <w:rFonts w:hint="eastAsia"/>
        </w:rPr>
        <w:fldChar w:fldCharType="end"/>
      </w:r>
    </w:p>
    <w:p w14:paraId="6630783C">
      <w:pPr>
        <w:pStyle w:val="11"/>
        <w:tabs>
          <w:tab w:val="left" w:pos="1100"/>
          <w:tab w:val="right" w:leader="dot" w:pos="8296"/>
        </w:tabs>
        <w:rPr>
          <w:rFonts w:hint="eastAsia" w:asciiTheme="minorHAnsi" w:hAnsiTheme="minorHAnsi" w:eastAsiaTheme="minorEastAsia" w:cstheme="minorBidi"/>
          <w:sz w:val="22"/>
          <w:szCs w:val="24"/>
          <w14:ligatures w14:val="standardContextual"/>
        </w:rPr>
      </w:pPr>
      <w:r>
        <w:fldChar w:fldCharType="begin"/>
      </w:r>
      <w:r>
        <w:instrText xml:space="preserve"> HYPERLINK \l "_Toc190853413" </w:instrText>
      </w:r>
      <w:r>
        <w:fldChar w:fldCharType="separate"/>
      </w:r>
      <w:r>
        <w:rPr>
          <w:rStyle w:val="14"/>
          <w:rFonts w:hint="eastAsia"/>
        </w:rPr>
        <w:t>1.2.</w:t>
      </w:r>
      <w:r>
        <w:rPr>
          <w:rFonts w:hint="eastAsia" w:asciiTheme="minorHAnsi" w:hAnsiTheme="minorHAnsi" w:eastAsiaTheme="minorEastAsia" w:cstheme="minorBidi"/>
          <w:sz w:val="22"/>
          <w:szCs w:val="24"/>
          <w14:ligatures w14:val="standardContextual"/>
        </w:rPr>
        <w:tab/>
      </w:r>
      <w:r>
        <w:rPr>
          <w:rStyle w:val="14"/>
          <w:rFonts w:hint="eastAsia"/>
        </w:rPr>
        <w:t>签订采购协议</w:t>
      </w:r>
      <w:r>
        <w:rPr>
          <w:rFonts w:hint="eastAsia"/>
        </w:rPr>
        <w:tab/>
      </w:r>
      <w:r>
        <w:rPr>
          <w:rFonts w:hint="eastAsia"/>
        </w:rPr>
        <w:fldChar w:fldCharType="begin"/>
      </w:r>
      <w:r>
        <w:rPr>
          <w:rFonts w:hint="eastAsia"/>
        </w:rPr>
        <w:instrText xml:space="preserve"> </w:instrText>
      </w:r>
      <w:r>
        <w:instrText xml:space="preserve">PAGEREF _Toc190853413 \h</w:instrText>
      </w:r>
      <w:r>
        <w:rPr>
          <w:rFonts w:hint="eastAsia"/>
        </w:rPr>
        <w:instrText xml:space="preserve"> </w:instrText>
      </w:r>
      <w:r>
        <w:fldChar w:fldCharType="separate"/>
      </w:r>
      <w:r>
        <w:t>5</w:t>
      </w:r>
      <w:r>
        <w:rPr>
          <w:rFonts w:hint="eastAsia"/>
        </w:rPr>
        <w:fldChar w:fldCharType="end"/>
      </w:r>
      <w:r>
        <w:rPr>
          <w:rFonts w:hint="eastAsia"/>
        </w:rPr>
        <w:fldChar w:fldCharType="end"/>
      </w:r>
    </w:p>
    <w:p w14:paraId="29BEEA89">
      <w:r>
        <w:rPr>
          <w:bCs/>
          <w:lang w:val="zh-CN"/>
        </w:rPr>
        <w:fldChar w:fldCharType="end"/>
      </w:r>
    </w:p>
    <w:p w14:paraId="647EFEDD">
      <w:pPr>
        <w:widowControl/>
        <w:jc w:val="left"/>
        <w:rPr>
          <w:rFonts w:ascii="宋体"/>
          <w:b/>
          <w:sz w:val="32"/>
        </w:rPr>
        <w:sectPr>
          <w:footerReference r:id="rId3" w:type="default"/>
          <w:pgSz w:w="11906" w:h="16838"/>
          <w:pgMar w:top="1440" w:right="1800" w:bottom="1440" w:left="1800" w:header="851" w:footer="992" w:gutter="0"/>
          <w:cols w:space="425" w:num="1"/>
          <w:docGrid w:type="lines" w:linePitch="312" w:charSpace="0"/>
        </w:sectPr>
      </w:pPr>
    </w:p>
    <w:p w14:paraId="38891DE8">
      <w:pPr>
        <w:widowControl/>
        <w:jc w:val="left"/>
        <w:rPr>
          <w:rFonts w:ascii="宋体"/>
          <w:b/>
          <w:sz w:val="32"/>
        </w:rPr>
      </w:pPr>
    </w:p>
    <w:p w14:paraId="4DB9FDCF">
      <w:pPr>
        <w:pStyle w:val="2"/>
        <w:numPr>
          <w:ilvl w:val="0"/>
          <w:numId w:val="2"/>
        </w:numPr>
      </w:pPr>
      <w:bookmarkStart w:id="0" w:name="_Toc190853411"/>
      <w:r>
        <w:rPr>
          <w:rFonts w:hint="eastAsia"/>
        </w:rPr>
        <w:t>耗材集采</w:t>
      </w:r>
      <w:bookmarkEnd w:id="0"/>
    </w:p>
    <w:p w14:paraId="734ABFA5">
      <w:pPr>
        <w:pStyle w:val="3"/>
        <w:numPr>
          <w:ilvl w:val="1"/>
          <w:numId w:val="2"/>
        </w:numPr>
      </w:pPr>
      <w:bookmarkStart w:id="1" w:name="_Toc190853412"/>
      <w:r>
        <w:rPr>
          <w:rFonts w:hint="eastAsia"/>
        </w:rPr>
        <w:t>骨科创伤类协议采购量分配</w:t>
      </w:r>
      <w:bookmarkEnd w:id="1"/>
    </w:p>
    <w:p w14:paraId="15A707CB">
      <w:pPr>
        <w:keepNext/>
        <w:widowControl/>
        <w:jc w:val="left"/>
      </w:pPr>
      <w:r>
        <w:drawing>
          <wp:inline distT="0" distB="0" distL="114300" distR="114300">
            <wp:extent cx="5264785" cy="1928495"/>
            <wp:effectExtent l="0" t="0" r="8255" b="6985"/>
            <wp:docPr id="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1"/>
                    <pic:cNvPicPr>
                      <a:picLocks noChangeAspect="1"/>
                    </pic:cNvPicPr>
                  </pic:nvPicPr>
                  <pic:blipFill>
                    <a:blip r:embed="rId6"/>
                    <a:stretch>
                      <a:fillRect/>
                    </a:stretch>
                  </pic:blipFill>
                  <pic:spPr>
                    <a:xfrm>
                      <a:off x="0" y="0"/>
                      <a:ext cx="5264785" cy="1928495"/>
                    </a:xfrm>
                    <a:prstGeom prst="rect">
                      <a:avLst/>
                    </a:prstGeom>
                    <a:noFill/>
                    <a:ln>
                      <a:noFill/>
                    </a:ln>
                  </pic:spPr>
                </pic:pic>
              </a:graphicData>
            </a:graphic>
          </wp:inline>
        </w:drawing>
      </w:r>
    </w:p>
    <w:p w14:paraId="43E2AB1F">
      <w:pPr>
        <w:keepNext/>
        <w:widowControl/>
        <w:jc w:val="left"/>
      </w:pPr>
      <w:r>
        <w:drawing>
          <wp:inline distT="0" distB="0" distL="114300" distR="114300">
            <wp:extent cx="5267960" cy="2028825"/>
            <wp:effectExtent l="0" t="0" r="5080" b="13335"/>
            <wp:docPr id="5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2"/>
                    <pic:cNvPicPr>
                      <a:picLocks noChangeAspect="1"/>
                    </pic:cNvPicPr>
                  </pic:nvPicPr>
                  <pic:blipFill>
                    <a:blip r:embed="rId7"/>
                    <a:stretch>
                      <a:fillRect/>
                    </a:stretch>
                  </pic:blipFill>
                  <pic:spPr>
                    <a:xfrm>
                      <a:off x="0" y="0"/>
                      <a:ext cx="5267960" cy="2028825"/>
                    </a:xfrm>
                    <a:prstGeom prst="rect">
                      <a:avLst/>
                    </a:prstGeom>
                    <a:noFill/>
                    <a:ln>
                      <a:noFill/>
                    </a:ln>
                  </pic:spPr>
                </pic:pic>
              </a:graphicData>
            </a:graphic>
          </wp:inline>
        </w:drawing>
      </w:r>
    </w:p>
    <w:p w14:paraId="69CB9CD3">
      <w:pPr>
        <w:pStyle w:val="5"/>
        <w:jc w:val="center"/>
      </w:pPr>
      <w:r>
        <w:rPr>
          <w:rFonts w:hint="eastAsia"/>
        </w:rPr>
        <w:t>图2-1-1 骨科创伤类协议采购量分配页面</w:t>
      </w:r>
    </w:p>
    <w:p w14:paraId="434C3F51"/>
    <w:p w14:paraId="5F25D925">
      <w:pPr>
        <w:numPr>
          <w:ilvl w:val="0"/>
          <w:numId w:val="3"/>
        </w:numPr>
        <w:rPr>
          <w:sz w:val="24"/>
        </w:rPr>
      </w:pPr>
      <w:r>
        <w:rPr>
          <w:rFonts w:hint="eastAsia"/>
          <w:sz w:val="24"/>
        </w:rPr>
        <w:t>医疗机构可通过本功能将创伤集采未中选产品的协议报量分配至中选产品，打开功能后如上图</w:t>
      </w:r>
      <w:r>
        <w:rPr>
          <w:rFonts w:hint="eastAsia"/>
        </w:rPr>
        <w:t>2-1-1</w:t>
      </w:r>
      <w:r>
        <w:rPr>
          <w:rFonts w:hint="eastAsia"/>
          <w:sz w:val="24"/>
        </w:rPr>
        <w:t>所示。</w:t>
      </w:r>
    </w:p>
    <w:p w14:paraId="4A084EA9">
      <w:pPr>
        <w:numPr>
          <w:ilvl w:val="0"/>
          <w:numId w:val="3"/>
        </w:numPr>
        <w:rPr>
          <w:sz w:val="24"/>
        </w:rPr>
      </w:pPr>
      <w:r>
        <w:rPr>
          <w:rFonts w:hint="eastAsia"/>
          <w:sz w:val="24"/>
        </w:rPr>
        <w:t>待分配量信息中相关类型的需分配量不能</w:t>
      </w:r>
      <w:bookmarkStart w:id="3" w:name="_GoBack"/>
      <w:bookmarkEnd w:id="3"/>
      <w:r>
        <w:rPr>
          <w:rFonts w:hint="eastAsia"/>
          <w:sz w:val="24"/>
        </w:rPr>
        <w:t>修改。</w:t>
      </w:r>
    </w:p>
    <w:p w14:paraId="3BBE8AA7">
      <w:pPr>
        <w:numPr>
          <w:ilvl w:val="0"/>
          <w:numId w:val="3"/>
        </w:numPr>
        <w:rPr>
          <w:sz w:val="24"/>
        </w:rPr>
      </w:pPr>
      <w:r>
        <w:rPr>
          <w:rFonts w:hint="eastAsia"/>
          <w:sz w:val="24"/>
        </w:rPr>
        <w:t>待分配量信息中相关类型的已分配量，初始为从库中读取，若相关类型分配量有变化后程序会刷新页面以确保已分配量统计正确。</w:t>
      </w:r>
    </w:p>
    <w:p w14:paraId="17D9F9AB">
      <w:pPr>
        <w:numPr>
          <w:ilvl w:val="0"/>
          <w:numId w:val="3"/>
        </w:numPr>
        <w:rPr>
          <w:sz w:val="24"/>
        </w:rPr>
      </w:pPr>
      <w:r>
        <w:rPr>
          <w:rFonts w:hint="eastAsia"/>
          <w:sz w:val="24"/>
        </w:rPr>
        <w:t>协议采购量中，录入查询条件点击【查询】按钮即可在下方查询结果列表中查询到符合条件的信息，如下图</w:t>
      </w:r>
      <w:r>
        <w:rPr>
          <w:rFonts w:hint="eastAsia"/>
        </w:rPr>
        <w:t>2-1-2</w:t>
      </w:r>
      <w:r>
        <w:rPr>
          <w:rFonts w:hint="eastAsia"/>
          <w:sz w:val="24"/>
        </w:rPr>
        <w:t>所示，也可以不录入查询条件直接点击【查询】按钮即可查询所有数据。</w:t>
      </w:r>
    </w:p>
    <w:p w14:paraId="204BD629">
      <w:r>
        <w:drawing>
          <wp:inline distT="0" distB="0" distL="114300" distR="114300">
            <wp:extent cx="5264785" cy="2413635"/>
            <wp:effectExtent l="0" t="0" r="8255" b="9525"/>
            <wp:docPr id="5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3"/>
                    <pic:cNvPicPr>
                      <a:picLocks noChangeAspect="1"/>
                    </pic:cNvPicPr>
                  </pic:nvPicPr>
                  <pic:blipFill>
                    <a:blip r:embed="rId8"/>
                    <a:stretch>
                      <a:fillRect/>
                    </a:stretch>
                  </pic:blipFill>
                  <pic:spPr>
                    <a:xfrm>
                      <a:off x="0" y="0"/>
                      <a:ext cx="5264785" cy="2413635"/>
                    </a:xfrm>
                    <a:prstGeom prst="rect">
                      <a:avLst/>
                    </a:prstGeom>
                    <a:noFill/>
                    <a:ln>
                      <a:noFill/>
                    </a:ln>
                  </pic:spPr>
                </pic:pic>
              </a:graphicData>
            </a:graphic>
          </wp:inline>
        </w:drawing>
      </w:r>
    </w:p>
    <w:p w14:paraId="1863AFD9">
      <w:pPr>
        <w:pStyle w:val="5"/>
        <w:jc w:val="center"/>
      </w:pPr>
      <w:r>
        <w:rPr>
          <w:rFonts w:hint="eastAsia"/>
        </w:rPr>
        <w:t>图2-1-2 协议采购量筛查信息</w:t>
      </w:r>
    </w:p>
    <w:p w14:paraId="435DE036"/>
    <w:p w14:paraId="036F634B">
      <w:pPr>
        <w:numPr>
          <w:ilvl w:val="0"/>
          <w:numId w:val="3"/>
        </w:numPr>
        <w:rPr>
          <w:sz w:val="24"/>
        </w:rPr>
      </w:pPr>
      <w:r>
        <w:rPr>
          <w:rFonts w:hint="eastAsia"/>
          <w:sz w:val="24"/>
        </w:rPr>
        <w:t>点击【重置】按钮，可清空查询条件。</w:t>
      </w:r>
    </w:p>
    <w:p w14:paraId="6340E865">
      <w:pPr>
        <w:numPr>
          <w:ilvl w:val="0"/>
          <w:numId w:val="3"/>
        </w:numPr>
        <w:rPr>
          <w:sz w:val="24"/>
        </w:rPr>
      </w:pPr>
      <w:r>
        <w:rPr>
          <w:rFonts w:hint="eastAsia"/>
          <w:sz w:val="24"/>
        </w:rPr>
        <w:t>点击【导出表格】按钮，可导出所有信息。如下图</w:t>
      </w:r>
      <w:r>
        <w:rPr>
          <w:rFonts w:hint="eastAsia"/>
        </w:rPr>
        <w:t>2-1-3</w:t>
      </w:r>
      <w:r>
        <w:rPr>
          <w:rFonts w:hint="eastAsia"/>
          <w:sz w:val="24"/>
        </w:rPr>
        <w:t>所示。</w:t>
      </w:r>
    </w:p>
    <w:p w14:paraId="4C2054B7">
      <w:r>
        <w:drawing>
          <wp:inline distT="0" distB="0" distL="114300" distR="114300">
            <wp:extent cx="5553710" cy="3459480"/>
            <wp:effectExtent l="0" t="0" r="8890" b="0"/>
            <wp:docPr id="5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31"/>
                    <pic:cNvPicPr>
                      <a:picLocks noChangeAspect="1"/>
                    </pic:cNvPicPr>
                  </pic:nvPicPr>
                  <pic:blipFill>
                    <a:blip r:embed="rId9"/>
                    <a:stretch>
                      <a:fillRect/>
                    </a:stretch>
                  </pic:blipFill>
                  <pic:spPr>
                    <a:xfrm>
                      <a:off x="0" y="0"/>
                      <a:ext cx="5553710" cy="3459480"/>
                    </a:xfrm>
                    <a:prstGeom prst="rect">
                      <a:avLst/>
                    </a:prstGeom>
                    <a:noFill/>
                    <a:ln>
                      <a:noFill/>
                    </a:ln>
                  </pic:spPr>
                </pic:pic>
              </a:graphicData>
            </a:graphic>
          </wp:inline>
        </w:drawing>
      </w:r>
    </w:p>
    <w:p w14:paraId="0F5ECB26">
      <w:pPr>
        <w:pStyle w:val="5"/>
        <w:jc w:val="center"/>
      </w:pPr>
      <w:r>
        <w:rPr>
          <w:rFonts w:hint="eastAsia"/>
        </w:rPr>
        <w:t>图2-1-3 导出信息</w:t>
      </w:r>
    </w:p>
    <w:p w14:paraId="42A41C0A"/>
    <w:p w14:paraId="2CD47E0E">
      <w:pPr>
        <w:numPr>
          <w:ilvl w:val="0"/>
          <w:numId w:val="3"/>
        </w:numPr>
        <w:rPr>
          <w:sz w:val="24"/>
        </w:rPr>
      </w:pPr>
      <w:r>
        <w:rPr>
          <w:rFonts w:hint="eastAsia"/>
          <w:sz w:val="24"/>
        </w:rPr>
        <w:t>点击【分配】按钮，可录入相关类型的分配量信息。如下图</w:t>
      </w:r>
      <w:r>
        <w:rPr>
          <w:rFonts w:hint="eastAsia"/>
        </w:rPr>
        <w:t>2-1-4</w:t>
      </w:r>
      <w:r>
        <w:rPr>
          <w:rFonts w:hint="eastAsia"/>
          <w:sz w:val="24"/>
        </w:rPr>
        <w:t>所示。</w:t>
      </w:r>
    </w:p>
    <w:p w14:paraId="6EF4B16E">
      <w:r>
        <w:drawing>
          <wp:inline distT="0" distB="0" distL="114300" distR="114300">
            <wp:extent cx="5267960" cy="2404110"/>
            <wp:effectExtent l="0" t="0" r="5080" b="3810"/>
            <wp:docPr id="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4"/>
                    <pic:cNvPicPr>
                      <a:picLocks noChangeAspect="1"/>
                    </pic:cNvPicPr>
                  </pic:nvPicPr>
                  <pic:blipFill>
                    <a:blip r:embed="rId10"/>
                    <a:stretch>
                      <a:fillRect/>
                    </a:stretch>
                  </pic:blipFill>
                  <pic:spPr>
                    <a:xfrm>
                      <a:off x="0" y="0"/>
                      <a:ext cx="5267960" cy="2404110"/>
                    </a:xfrm>
                    <a:prstGeom prst="rect">
                      <a:avLst/>
                    </a:prstGeom>
                    <a:noFill/>
                    <a:ln>
                      <a:noFill/>
                    </a:ln>
                  </pic:spPr>
                </pic:pic>
              </a:graphicData>
            </a:graphic>
          </wp:inline>
        </w:drawing>
      </w:r>
    </w:p>
    <w:p w14:paraId="3C47BAB4">
      <w:pPr>
        <w:pStyle w:val="5"/>
        <w:jc w:val="center"/>
        <w:rPr>
          <w:rFonts w:eastAsia="宋体"/>
        </w:rPr>
      </w:pPr>
      <w:r>
        <w:rPr>
          <w:rFonts w:hint="eastAsia"/>
        </w:rPr>
        <w:t>图2-1-4 协议采购量-分配页面</w:t>
      </w:r>
    </w:p>
    <w:p w14:paraId="26D25B0B">
      <w:pPr>
        <w:rPr>
          <w:sz w:val="24"/>
        </w:rPr>
      </w:pPr>
    </w:p>
    <w:p w14:paraId="6EFB6BB1">
      <w:pPr>
        <w:numPr>
          <w:ilvl w:val="0"/>
          <w:numId w:val="3"/>
        </w:numPr>
        <w:rPr>
          <w:sz w:val="24"/>
        </w:rPr>
      </w:pPr>
      <w:r>
        <w:rPr>
          <w:rFonts w:hint="eastAsia"/>
          <w:sz w:val="24"/>
        </w:rPr>
        <w:t>填写后的该类型的已分配量不能大于需分配量。如下图</w:t>
      </w:r>
      <w:r>
        <w:rPr>
          <w:rFonts w:hint="eastAsia"/>
        </w:rPr>
        <w:t>2-1-5</w:t>
      </w:r>
      <w:r>
        <w:rPr>
          <w:rFonts w:hint="eastAsia"/>
          <w:sz w:val="24"/>
        </w:rPr>
        <w:t>所示。</w:t>
      </w:r>
    </w:p>
    <w:p w14:paraId="3E5F5611">
      <w:r>
        <w:drawing>
          <wp:inline distT="0" distB="0" distL="114300" distR="114300">
            <wp:extent cx="5310505" cy="2336800"/>
            <wp:effectExtent l="0" t="0" r="8255" b="10160"/>
            <wp:docPr id="5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17"/>
                    <pic:cNvPicPr>
                      <a:picLocks noChangeAspect="1"/>
                    </pic:cNvPicPr>
                  </pic:nvPicPr>
                  <pic:blipFill>
                    <a:blip r:embed="rId11"/>
                    <a:stretch>
                      <a:fillRect/>
                    </a:stretch>
                  </pic:blipFill>
                  <pic:spPr>
                    <a:xfrm>
                      <a:off x="0" y="0"/>
                      <a:ext cx="5310505" cy="2336800"/>
                    </a:xfrm>
                    <a:prstGeom prst="rect">
                      <a:avLst/>
                    </a:prstGeom>
                    <a:noFill/>
                    <a:ln>
                      <a:noFill/>
                    </a:ln>
                  </pic:spPr>
                </pic:pic>
              </a:graphicData>
            </a:graphic>
          </wp:inline>
        </w:drawing>
      </w:r>
    </w:p>
    <w:p w14:paraId="6A75B240">
      <w:pPr>
        <w:pStyle w:val="5"/>
        <w:jc w:val="center"/>
      </w:pPr>
      <w:r>
        <w:rPr>
          <w:rFonts w:hint="eastAsia"/>
        </w:rPr>
        <w:t>图2-1-5 分配量校验</w:t>
      </w:r>
    </w:p>
    <w:p w14:paraId="4044268E"/>
    <w:p w14:paraId="1187DF3E">
      <w:pPr>
        <w:numPr>
          <w:ilvl w:val="0"/>
          <w:numId w:val="3"/>
        </w:numPr>
        <w:rPr>
          <w:sz w:val="24"/>
        </w:rPr>
      </w:pPr>
      <w:r>
        <w:rPr>
          <w:rFonts w:hint="eastAsia"/>
          <w:sz w:val="24"/>
        </w:rPr>
        <w:t>需上传盖章后的pdf格式的附件，否则无法提交。如下图</w:t>
      </w:r>
      <w:r>
        <w:rPr>
          <w:rFonts w:hint="eastAsia"/>
        </w:rPr>
        <w:t>2-1-6</w:t>
      </w:r>
      <w:r>
        <w:rPr>
          <w:rFonts w:hint="eastAsia"/>
          <w:sz w:val="24"/>
        </w:rPr>
        <w:t>所示。</w:t>
      </w:r>
    </w:p>
    <w:p w14:paraId="248C1635">
      <w:r>
        <w:drawing>
          <wp:inline distT="0" distB="0" distL="114300" distR="114300">
            <wp:extent cx="5366385" cy="2508885"/>
            <wp:effectExtent l="0" t="0" r="13335" b="5715"/>
            <wp:docPr id="5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23"/>
                    <pic:cNvPicPr>
                      <a:picLocks noChangeAspect="1"/>
                    </pic:cNvPicPr>
                  </pic:nvPicPr>
                  <pic:blipFill>
                    <a:blip r:embed="rId12"/>
                    <a:stretch>
                      <a:fillRect/>
                    </a:stretch>
                  </pic:blipFill>
                  <pic:spPr>
                    <a:xfrm>
                      <a:off x="0" y="0"/>
                      <a:ext cx="5366385" cy="2508885"/>
                    </a:xfrm>
                    <a:prstGeom prst="rect">
                      <a:avLst/>
                    </a:prstGeom>
                    <a:noFill/>
                    <a:ln>
                      <a:noFill/>
                    </a:ln>
                  </pic:spPr>
                </pic:pic>
              </a:graphicData>
            </a:graphic>
          </wp:inline>
        </w:drawing>
      </w:r>
    </w:p>
    <w:p w14:paraId="2D3CAA13">
      <w:pPr>
        <w:pStyle w:val="5"/>
        <w:jc w:val="center"/>
      </w:pPr>
      <w:r>
        <w:rPr>
          <w:rFonts w:hint="eastAsia"/>
        </w:rPr>
        <w:t>图2-1-6 不上传附件则提交报错</w:t>
      </w:r>
    </w:p>
    <w:p w14:paraId="0B5564EF"/>
    <w:p w14:paraId="660DE9FB">
      <w:pPr>
        <w:numPr>
          <w:ilvl w:val="0"/>
          <w:numId w:val="3"/>
        </w:numPr>
        <w:rPr>
          <w:sz w:val="24"/>
        </w:rPr>
      </w:pPr>
      <w:r>
        <w:rPr>
          <w:rFonts w:hint="eastAsia"/>
          <w:sz w:val="24"/>
        </w:rPr>
        <w:t>待审核状态，协议采购量查询结果列表不会展示分配按钮。如下图</w:t>
      </w:r>
      <w:r>
        <w:rPr>
          <w:rFonts w:hint="eastAsia"/>
        </w:rPr>
        <w:t>2-1-7</w:t>
      </w:r>
      <w:r>
        <w:rPr>
          <w:rFonts w:hint="eastAsia"/>
          <w:sz w:val="24"/>
        </w:rPr>
        <w:t>所示。</w:t>
      </w:r>
    </w:p>
    <w:p w14:paraId="3ED63520">
      <w:pPr>
        <w:rPr>
          <w:sz w:val="24"/>
        </w:rPr>
      </w:pPr>
      <w:r>
        <w:drawing>
          <wp:inline distT="0" distB="0" distL="114300" distR="114300">
            <wp:extent cx="5264785" cy="2429510"/>
            <wp:effectExtent l="0" t="0" r="8255" b="8890"/>
            <wp:docPr id="5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
                    <pic:cNvPicPr>
                      <a:picLocks noChangeAspect="1"/>
                    </pic:cNvPicPr>
                  </pic:nvPicPr>
                  <pic:blipFill>
                    <a:blip r:embed="rId13"/>
                    <a:stretch>
                      <a:fillRect/>
                    </a:stretch>
                  </pic:blipFill>
                  <pic:spPr>
                    <a:xfrm>
                      <a:off x="0" y="0"/>
                      <a:ext cx="5264785" cy="2429510"/>
                    </a:xfrm>
                    <a:prstGeom prst="rect">
                      <a:avLst/>
                    </a:prstGeom>
                    <a:noFill/>
                    <a:ln>
                      <a:noFill/>
                    </a:ln>
                  </pic:spPr>
                </pic:pic>
              </a:graphicData>
            </a:graphic>
          </wp:inline>
        </w:drawing>
      </w:r>
    </w:p>
    <w:p w14:paraId="3AC0D887">
      <w:pPr>
        <w:rPr>
          <w:sz w:val="24"/>
        </w:rPr>
      </w:pPr>
    </w:p>
    <w:p w14:paraId="133F8CF6">
      <w:pPr>
        <w:numPr>
          <w:ilvl w:val="0"/>
          <w:numId w:val="3"/>
        </w:numPr>
        <w:rPr>
          <w:sz w:val="24"/>
        </w:rPr>
      </w:pPr>
      <w:r>
        <w:rPr>
          <w:rFonts w:hint="eastAsia"/>
          <w:sz w:val="24"/>
        </w:rPr>
        <w:t>若有类型的已分配量未分配完成则提交时系统会拦截、报错，如下图</w:t>
      </w:r>
      <w:r>
        <w:rPr>
          <w:rFonts w:hint="eastAsia"/>
        </w:rPr>
        <w:t>2-1-8</w:t>
      </w:r>
      <w:r>
        <w:rPr>
          <w:rFonts w:hint="eastAsia"/>
          <w:sz w:val="24"/>
        </w:rPr>
        <w:t>所示。</w:t>
      </w:r>
    </w:p>
    <w:p w14:paraId="080F6BA6">
      <w:r>
        <w:drawing>
          <wp:inline distT="0" distB="0" distL="114300" distR="114300">
            <wp:extent cx="5400675" cy="2473325"/>
            <wp:effectExtent l="0" t="0" r="9525" b="10795"/>
            <wp:docPr id="5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28"/>
                    <pic:cNvPicPr>
                      <a:picLocks noChangeAspect="1"/>
                    </pic:cNvPicPr>
                  </pic:nvPicPr>
                  <pic:blipFill>
                    <a:blip r:embed="rId14"/>
                    <a:stretch>
                      <a:fillRect/>
                    </a:stretch>
                  </pic:blipFill>
                  <pic:spPr>
                    <a:xfrm>
                      <a:off x="0" y="0"/>
                      <a:ext cx="5400675" cy="2473325"/>
                    </a:xfrm>
                    <a:prstGeom prst="rect">
                      <a:avLst/>
                    </a:prstGeom>
                    <a:noFill/>
                    <a:ln>
                      <a:noFill/>
                    </a:ln>
                  </pic:spPr>
                </pic:pic>
              </a:graphicData>
            </a:graphic>
          </wp:inline>
        </w:drawing>
      </w:r>
    </w:p>
    <w:p w14:paraId="52A16E36">
      <w:pPr>
        <w:pStyle w:val="5"/>
        <w:jc w:val="center"/>
        <w:rPr>
          <w:rFonts w:eastAsia="宋体"/>
        </w:rPr>
      </w:pPr>
      <w:r>
        <w:rPr>
          <w:rFonts w:hint="eastAsia"/>
        </w:rPr>
        <w:t>图2-1-8 已分配量未完成则无法提交</w:t>
      </w:r>
    </w:p>
    <w:p w14:paraId="160DDC38">
      <w:pPr>
        <w:ind w:left="420"/>
        <w:rPr>
          <w:sz w:val="24"/>
        </w:rPr>
      </w:pPr>
    </w:p>
    <w:p w14:paraId="2CC61893">
      <w:pPr>
        <w:rPr>
          <w:sz w:val="24"/>
        </w:rPr>
      </w:pPr>
    </w:p>
    <w:p w14:paraId="46A99D23">
      <w:pPr>
        <w:rPr>
          <w:sz w:val="24"/>
        </w:rPr>
      </w:pPr>
    </w:p>
    <w:p w14:paraId="73FE2A78">
      <w:pPr>
        <w:rPr>
          <w:sz w:val="24"/>
        </w:rPr>
      </w:pPr>
    </w:p>
    <w:p w14:paraId="78B026DD">
      <w:pPr>
        <w:pStyle w:val="3"/>
        <w:numPr>
          <w:ilvl w:val="1"/>
          <w:numId w:val="2"/>
        </w:numPr>
      </w:pPr>
      <w:bookmarkStart w:id="2" w:name="_Toc190853413"/>
      <w:r>
        <w:rPr>
          <w:rFonts w:hint="eastAsia"/>
        </w:rPr>
        <w:t>签订采购协议</w:t>
      </w:r>
      <w:bookmarkEnd w:id="2"/>
    </w:p>
    <w:p w14:paraId="18CFF46F">
      <w:pPr>
        <w:keepNext/>
        <w:widowControl/>
        <w:jc w:val="left"/>
      </w:pPr>
      <w:r>
        <w:drawing>
          <wp:inline distT="0" distB="0" distL="114300" distR="114300">
            <wp:extent cx="5264150" cy="2394585"/>
            <wp:effectExtent l="0" t="0" r="8890" b="13335"/>
            <wp:docPr id="5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6"/>
                    <pic:cNvPicPr>
                      <a:picLocks noChangeAspect="1"/>
                    </pic:cNvPicPr>
                  </pic:nvPicPr>
                  <pic:blipFill>
                    <a:blip r:embed="rId15"/>
                    <a:stretch>
                      <a:fillRect/>
                    </a:stretch>
                  </pic:blipFill>
                  <pic:spPr>
                    <a:xfrm>
                      <a:off x="0" y="0"/>
                      <a:ext cx="5264150" cy="2394585"/>
                    </a:xfrm>
                    <a:prstGeom prst="rect">
                      <a:avLst/>
                    </a:prstGeom>
                    <a:noFill/>
                    <a:ln>
                      <a:noFill/>
                    </a:ln>
                  </pic:spPr>
                </pic:pic>
              </a:graphicData>
            </a:graphic>
          </wp:inline>
        </w:drawing>
      </w:r>
    </w:p>
    <w:p w14:paraId="7CE0FB72">
      <w:pPr>
        <w:pStyle w:val="5"/>
        <w:jc w:val="center"/>
      </w:pPr>
      <w:r>
        <w:rPr>
          <w:rFonts w:hint="eastAsia"/>
        </w:rPr>
        <w:t>图2-2-1 签订采购协议页面</w:t>
      </w:r>
    </w:p>
    <w:p w14:paraId="5E1B3C4C">
      <w:pPr>
        <w:numPr>
          <w:ilvl w:val="0"/>
          <w:numId w:val="3"/>
        </w:numPr>
        <w:rPr>
          <w:sz w:val="24"/>
        </w:rPr>
      </w:pPr>
      <w:r>
        <w:rPr>
          <w:rFonts w:hint="eastAsia"/>
          <w:sz w:val="24"/>
        </w:rPr>
        <w:t>医疗机构可通过该功能上传</w:t>
      </w:r>
      <w:r>
        <w:rPr>
          <w:rFonts w:hint="eastAsia"/>
          <w:sz w:val="24"/>
          <w:lang w:eastAsia="zh-CN"/>
        </w:rPr>
        <w:t>与</w:t>
      </w:r>
      <w:r>
        <w:rPr>
          <w:rFonts w:hint="eastAsia"/>
          <w:sz w:val="24"/>
        </w:rPr>
        <w:t>企业签订的集采产品采购协议。</w:t>
      </w:r>
    </w:p>
    <w:p w14:paraId="55E5216D">
      <w:pPr>
        <w:numPr>
          <w:ilvl w:val="0"/>
          <w:numId w:val="3"/>
        </w:numPr>
        <w:rPr>
          <w:sz w:val="24"/>
        </w:rPr>
      </w:pPr>
      <w:r>
        <w:rPr>
          <w:rFonts w:hint="eastAsia"/>
          <w:sz w:val="24"/>
        </w:rPr>
        <w:t>录入查询条件，点击【查询】按钮即可在下方查询结果列表中查询到符合条件的信息，也可以不录入查询条件直接点击【查询】按钮即可查询所有数据。</w:t>
      </w:r>
    </w:p>
    <w:p w14:paraId="52402910">
      <w:pPr>
        <w:numPr>
          <w:ilvl w:val="0"/>
          <w:numId w:val="3"/>
        </w:numPr>
        <w:rPr>
          <w:sz w:val="24"/>
        </w:rPr>
      </w:pPr>
      <w:r>
        <w:rPr>
          <w:rFonts w:hint="eastAsia"/>
          <w:sz w:val="24"/>
        </w:rPr>
        <w:t>点击【新增】按钮，即可新增签订采购协议，如下图</w:t>
      </w:r>
      <w:r>
        <w:rPr>
          <w:rFonts w:hint="eastAsia"/>
        </w:rPr>
        <w:t>2-2-2</w:t>
      </w:r>
      <w:r>
        <w:rPr>
          <w:rFonts w:hint="eastAsia"/>
          <w:sz w:val="24"/>
        </w:rPr>
        <w:t>所示。</w:t>
      </w:r>
    </w:p>
    <w:p w14:paraId="02743C2F">
      <w:r>
        <w:drawing>
          <wp:inline distT="0" distB="0" distL="114300" distR="114300">
            <wp:extent cx="5264150" cy="2095500"/>
            <wp:effectExtent l="0" t="0" r="8890" b="7620"/>
            <wp:docPr id="5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7"/>
                    <pic:cNvPicPr>
                      <a:picLocks noChangeAspect="1"/>
                    </pic:cNvPicPr>
                  </pic:nvPicPr>
                  <pic:blipFill>
                    <a:blip r:embed="rId16"/>
                    <a:stretch>
                      <a:fillRect/>
                    </a:stretch>
                  </pic:blipFill>
                  <pic:spPr>
                    <a:xfrm>
                      <a:off x="0" y="0"/>
                      <a:ext cx="5264150" cy="2095500"/>
                    </a:xfrm>
                    <a:prstGeom prst="rect">
                      <a:avLst/>
                    </a:prstGeom>
                    <a:noFill/>
                    <a:ln>
                      <a:noFill/>
                    </a:ln>
                  </pic:spPr>
                </pic:pic>
              </a:graphicData>
            </a:graphic>
          </wp:inline>
        </w:drawing>
      </w:r>
    </w:p>
    <w:p w14:paraId="403583BB">
      <w:pPr>
        <w:pStyle w:val="5"/>
        <w:jc w:val="center"/>
        <w:rPr>
          <w:rFonts w:eastAsia="宋体"/>
        </w:rPr>
      </w:pPr>
      <w:r>
        <w:rPr>
          <w:rFonts w:hint="eastAsia"/>
        </w:rPr>
        <w:t>图2-2-2 新增签订采购协议</w:t>
      </w:r>
    </w:p>
    <w:p w14:paraId="600B80AA">
      <w:pPr>
        <w:rPr>
          <w:sz w:val="24"/>
        </w:rPr>
      </w:pPr>
    </w:p>
    <w:p w14:paraId="3453E189">
      <w:pPr>
        <w:spacing w:line="360" w:lineRule="auto"/>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00C79">
    <w:pPr>
      <w:pStyle w:val="8"/>
      <w:jc w:val="center"/>
    </w:pPr>
  </w:p>
  <w:p w14:paraId="52CB82CE">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1457686"/>
    </w:sdtPr>
    <w:sdtContent>
      <w:p w14:paraId="36666528">
        <w:pPr>
          <w:pStyle w:val="8"/>
          <w:jc w:val="center"/>
        </w:pPr>
        <w:r>
          <w:fldChar w:fldCharType="begin"/>
        </w:r>
        <w:r>
          <w:instrText xml:space="preserve">PAGE   \* MERGEFORMAT</w:instrText>
        </w:r>
        <w:r>
          <w:fldChar w:fldCharType="separate"/>
        </w:r>
        <w:r>
          <w:rPr>
            <w:lang w:val="zh-CN"/>
          </w:rPr>
          <w:t>1</w:t>
        </w:r>
        <w:r>
          <w:fldChar w:fldCharType="end"/>
        </w:r>
      </w:p>
    </w:sdtContent>
  </w:sdt>
  <w:p w14:paraId="114390DE">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AE2D01"/>
    <w:multiLevelType w:val="multilevel"/>
    <w:tmpl w:val="4EAE2D01"/>
    <w:lvl w:ilvl="0" w:tentative="0">
      <w:start w:val="1"/>
      <w:numFmt w:val="bullet"/>
      <w:lvlText w:val=""/>
      <w:lvlJc w:val="left"/>
      <w:pPr>
        <w:ind w:left="840" w:hanging="420"/>
      </w:pPr>
      <w:rPr>
        <w:rFonts w:hint="default" w:ascii="Wingdings" w:hAnsi="Wingdings"/>
        <w:sz w:val="24"/>
        <w:szCs w:val="24"/>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5C466E8A"/>
    <w:multiLevelType w:val="multilevel"/>
    <w:tmpl w:val="5C466E8A"/>
    <w:lvl w:ilvl="0" w:tentative="0">
      <w:start w:val="1"/>
      <w:numFmt w:val="chineseCountingThousand"/>
      <w:suff w:val="space"/>
      <w:lvlText w:val="第%1章"/>
      <w:lvlJc w:val="left"/>
      <w:pPr>
        <w:ind w:left="0" w:firstLine="0"/>
      </w:pPr>
      <w:rPr>
        <w:rFonts w:hint="eastAsia" w:ascii="Calibri" w:hAnsi="Calibri" w:eastAsia="微软雅黑"/>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b w:val="0"/>
      </w:rPr>
    </w:lvl>
    <w:lvl w:ilvl="6" w:tentative="0">
      <w:start w:val="1"/>
      <w:numFmt w:val="decimal"/>
      <w:pStyle w:val="4"/>
      <w:isLgl/>
      <w:suff w:val="space"/>
      <w:lvlText w:val="%1.%2.%3.%4.%5.%6.%7"/>
      <w:lvlJc w:val="left"/>
      <w:pPr>
        <w:ind w:left="567" w:firstLine="0"/>
      </w:pPr>
      <w:rPr>
        <w:b w:val="0"/>
        <w:bCs w:val="0"/>
        <w:i w:val="0"/>
        <w:iCs w:val="0"/>
        <w:caps w:val="0"/>
        <w:smallCaps w:val="0"/>
        <w:strike w:val="0"/>
        <w:dstrike w:val="0"/>
        <w:vanish w:val="0"/>
        <w:color w:val="000000"/>
        <w:spacing w:val="0"/>
        <w:position w:val="0"/>
        <w:u w:val="none"/>
        <w:vertAlign w:val="baseline"/>
      </w:rPr>
    </w:lvl>
    <w:lvl w:ilvl="7" w:tentative="0">
      <w:start w:val="1"/>
      <w:numFmt w:val="decimal"/>
      <w:isLgl/>
      <w:suff w:val="space"/>
      <w:lvlText w:val="%1.%2.%3.%4.%5.%6.%7.%8"/>
      <w:lvlJc w:val="left"/>
      <w:pPr>
        <w:ind w:left="0" w:firstLine="0"/>
      </w:pPr>
      <w:rPr>
        <w:rFonts w:hint="eastAsia"/>
      </w:rPr>
    </w:lvl>
    <w:lvl w:ilvl="8" w:tentative="0">
      <w:start w:val="1"/>
      <w:numFmt w:val="decimal"/>
      <w:isLgl/>
      <w:suff w:val="space"/>
      <w:lvlText w:val="%1.%2.%3.%4.%5.%6.%7.%8.%9"/>
      <w:lvlJc w:val="left"/>
      <w:pPr>
        <w:ind w:left="0" w:firstLine="0"/>
      </w:pPr>
      <w:rPr>
        <w:rFonts w:hint="eastAsia"/>
      </w:rPr>
    </w:lvl>
  </w:abstractNum>
  <w:abstractNum w:abstractNumId="2">
    <w:nsid w:val="6B5F647C"/>
    <w:multiLevelType w:val="multilevel"/>
    <w:tmpl w:val="6B5F647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3Nzc4YTdhZjNiODRjZDgwNjZkODdkMWM4YjEyODMifQ=="/>
  </w:docVars>
  <w:rsids>
    <w:rsidRoot w:val="001154E9"/>
    <w:rsid w:val="00022C3E"/>
    <w:rsid w:val="00041291"/>
    <w:rsid w:val="00051A58"/>
    <w:rsid w:val="00052E2E"/>
    <w:rsid w:val="00064B31"/>
    <w:rsid w:val="0007104E"/>
    <w:rsid w:val="00076EBC"/>
    <w:rsid w:val="00084BB6"/>
    <w:rsid w:val="00086C09"/>
    <w:rsid w:val="00093238"/>
    <w:rsid w:val="000E35D5"/>
    <w:rsid w:val="000F31DB"/>
    <w:rsid w:val="00100030"/>
    <w:rsid w:val="0010339B"/>
    <w:rsid w:val="00111518"/>
    <w:rsid w:val="001154E9"/>
    <w:rsid w:val="00120ED6"/>
    <w:rsid w:val="00123005"/>
    <w:rsid w:val="00161B10"/>
    <w:rsid w:val="00163558"/>
    <w:rsid w:val="00170500"/>
    <w:rsid w:val="001776AB"/>
    <w:rsid w:val="00184D89"/>
    <w:rsid w:val="00194AC7"/>
    <w:rsid w:val="001958E3"/>
    <w:rsid w:val="00197211"/>
    <w:rsid w:val="001A00FF"/>
    <w:rsid w:val="001B5B5F"/>
    <w:rsid w:val="001C66A5"/>
    <w:rsid w:val="001E7BA3"/>
    <w:rsid w:val="001F3FA7"/>
    <w:rsid w:val="001F77E7"/>
    <w:rsid w:val="00200C35"/>
    <w:rsid w:val="00202FC3"/>
    <w:rsid w:val="0020316A"/>
    <w:rsid w:val="00205C9D"/>
    <w:rsid w:val="00210116"/>
    <w:rsid w:val="002207E0"/>
    <w:rsid w:val="00237A70"/>
    <w:rsid w:val="002421CB"/>
    <w:rsid w:val="00242453"/>
    <w:rsid w:val="00243822"/>
    <w:rsid w:val="00254C79"/>
    <w:rsid w:val="002573C7"/>
    <w:rsid w:val="002620B2"/>
    <w:rsid w:val="00277536"/>
    <w:rsid w:val="002841C6"/>
    <w:rsid w:val="00285217"/>
    <w:rsid w:val="0028691A"/>
    <w:rsid w:val="00290A6C"/>
    <w:rsid w:val="002A29CC"/>
    <w:rsid w:val="002B1306"/>
    <w:rsid w:val="002B524D"/>
    <w:rsid w:val="002E2127"/>
    <w:rsid w:val="002E3ED0"/>
    <w:rsid w:val="002F0D5A"/>
    <w:rsid w:val="002F1CAC"/>
    <w:rsid w:val="003002C0"/>
    <w:rsid w:val="00303807"/>
    <w:rsid w:val="003103CE"/>
    <w:rsid w:val="00322394"/>
    <w:rsid w:val="00326833"/>
    <w:rsid w:val="00326CBB"/>
    <w:rsid w:val="00333DB0"/>
    <w:rsid w:val="00333E4A"/>
    <w:rsid w:val="00345D6E"/>
    <w:rsid w:val="00346C9F"/>
    <w:rsid w:val="003476D8"/>
    <w:rsid w:val="00351552"/>
    <w:rsid w:val="00356E6B"/>
    <w:rsid w:val="00383683"/>
    <w:rsid w:val="00387988"/>
    <w:rsid w:val="003906E6"/>
    <w:rsid w:val="00396E66"/>
    <w:rsid w:val="003A5038"/>
    <w:rsid w:val="003B4F08"/>
    <w:rsid w:val="003B7943"/>
    <w:rsid w:val="003C21FC"/>
    <w:rsid w:val="003E63CE"/>
    <w:rsid w:val="00414DD7"/>
    <w:rsid w:val="0042562E"/>
    <w:rsid w:val="004325A5"/>
    <w:rsid w:val="00433F6D"/>
    <w:rsid w:val="00441D51"/>
    <w:rsid w:val="00443FC2"/>
    <w:rsid w:val="00444954"/>
    <w:rsid w:val="0044518F"/>
    <w:rsid w:val="0044634B"/>
    <w:rsid w:val="00451899"/>
    <w:rsid w:val="00460296"/>
    <w:rsid w:val="0046250F"/>
    <w:rsid w:val="00473096"/>
    <w:rsid w:val="00491C85"/>
    <w:rsid w:val="00493E87"/>
    <w:rsid w:val="004A190D"/>
    <w:rsid w:val="004B37DC"/>
    <w:rsid w:val="004B7CF0"/>
    <w:rsid w:val="004C32F5"/>
    <w:rsid w:val="004C3686"/>
    <w:rsid w:val="004E1AB5"/>
    <w:rsid w:val="004E614A"/>
    <w:rsid w:val="004E7A04"/>
    <w:rsid w:val="00525E83"/>
    <w:rsid w:val="005358C8"/>
    <w:rsid w:val="0053678F"/>
    <w:rsid w:val="00550A1A"/>
    <w:rsid w:val="00561345"/>
    <w:rsid w:val="005619B4"/>
    <w:rsid w:val="00583591"/>
    <w:rsid w:val="00592CB6"/>
    <w:rsid w:val="00595EC3"/>
    <w:rsid w:val="005A6AA1"/>
    <w:rsid w:val="005B4DC2"/>
    <w:rsid w:val="005B601F"/>
    <w:rsid w:val="005E10D6"/>
    <w:rsid w:val="005E6DEF"/>
    <w:rsid w:val="005F13F5"/>
    <w:rsid w:val="005F29A5"/>
    <w:rsid w:val="00617FD6"/>
    <w:rsid w:val="00622803"/>
    <w:rsid w:val="00635538"/>
    <w:rsid w:val="00645182"/>
    <w:rsid w:val="00655D8A"/>
    <w:rsid w:val="00657D1D"/>
    <w:rsid w:val="00662B16"/>
    <w:rsid w:val="00671FBE"/>
    <w:rsid w:val="006827C8"/>
    <w:rsid w:val="006846F5"/>
    <w:rsid w:val="00697469"/>
    <w:rsid w:val="00697731"/>
    <w:rsid w:val="006A3E44"/>
    <w:rsid w:val="006B046A"/>
    <w:rsid w:val="006B11CD"/>
    <w:rsid w:val="006B4FD2"/>
    <w:rsid w:val="006C4DFF"/>
    <w:rsid w:val="006D2B5A"/>
    <w:rsid w:val="006D632A"/>
    <w:rsid w:val="007129F5"/>
    <w:rsid w:val="00727E69"/>
    <w:rsid w:val="007311E7"/>
    <w:rsid w:val="007443E0"/>
    <w:rsid w:val="007566A2"/>
    <w:rsid w:val="0076026C"/>
    <w:rsid w:val="0076207A"/>
    <w:rsid w:val="007651BF"/>
    <w:rsid w:val="007835C6"/>
    <w:rsid w:val="0078488D"/>
    <w:rsid w:val="0078664A"/>
    <w:rsid w:val="00790291"/>
    <w:rsid w:val="007947DF"/>
    <w:rsid w:val="007A124D"/>
    <w:rsid w:val="007A7069"/>
    <w:rsid w:val="007B13BF"/>
    <w:rsid w:val="007E5C7A"/>
    <w:rsid w:val="007E6027"/>
    <w:rsid w:val="007F5709"/>
    <w:rsid w:val="00825DFC"/>
    <w:rsid w:val="008355CF"/>
    <w:rsid w:val="00835BB6"/>
    <w:rsid w:val="00843653"/>
    <w:rsid w:val="00843839"/>
    <w:rsid w:val="00844A56"/>
    <w:rsid w:val="008515DE"/>
    <w:rsid w:val="00857FB1"/>
    <w:rsid w:val="00861761"/>
    <w:rsid w:val="0086651F"/>
    <w:rsid w:val="00873783"/>
    <w:rsid w:val="008810C5"/>
    <w:rsid w:val="00883888"/>
    <w:rsid w:val="00883E62"/>
    <w:rsid w:val="008859B7"/>
    <w:rsid w:val="00897DBA"/>
    <w:rsid w:val="008A433E"/>
    <w:rsid w:val="008B0D85"/>
    <w:rsid w:val="008B7508"/>
    <w:rsid w:val="008C38A8"/>
    <w:rsid w:val="008C620A"/>
    <w:rsid w:val="008E0236"/>
    <w:rsid w:val="008E278B"/>
    <w:rsid w:val="008E2DCB"/>
    <w:rsid w:val="00915DB0"/>
    <w:rsid w:val="0091766B"/>
    <w:rsid w:val="00925BC1"/>
    <w:rsid w:val="00935FB7"/>
    <w:rsid w:val="00954BE1"/>
    <w:rsid w:val="00965F55"/>
    <w:rsid w:val="0097163F"/>
    <w:rsid w:val="009717AB"/>
    <w:rsid w:val="00972BA4"/>
    <w:rsid w:val="009A709C"/>
    <w:rsid w:val="009B088C"/>
    <w:rsid w:val="009B4D26"/>
    <w:rsid w:val="009B510F"/>
    <w:rsid w:val="009B5FF9"/>
    <w:rsid w:val="009C6E3E"/>
    <w:rsid w:val="009D29E7"/>
    <w:rsid w:val="009D2F6C"/>
    <w:rsid w:val="009E11D2"/>
    <w:rsid w:val="009E77B3"/>
    <w:rsid w:val="00A065D6"/>
    <w:rsid w:val="00A205DE"/>
    <w:rsid w:val="00A20E17"/>
    <w:rsid w:val="00A336F1"/>
    <w:rsid w:val="00A40B02"/>
    <w:rsid w:val="00A44CAA"/>
    <w:rsid w:val="00A56CD5"/>
    <w:rsid w:val="00A630C4"/>
    <w:rsid w:val="00A76173"/>
    <w:rsid w:val="00A80168"/>
    <w:rsid w:val="00A806CB"/>
    <w:rsid w:val="00A8071D"/>
    <w:rsid w:val="00A90462"/>
    <w:rsid w:val="00AA0637"/>
    <w:rsid w:val="00AA3376"/>
    <w:rsid w:val="00AB3DC1"/>
    <w:rsid w:val="00AB5D6B"/>
    <w:rsid w:val="00AC1B7C"/>
    <w:rsid w:val="00AC2D72"/>
    <w:rsid w:val="00AE1F9A"/>
    <w:rsid w:val="00AF4CFA"/>
    <w:rsid w:val="00B014D2"/>
    <w:rsid w:val="00B02C20"/>
    <w:rsid w:val="00B06D49"/>
    <w:rsid w:val="00B06ECE"/>
    <w:rsid w:val="00B07E39"/>
    <w:rsid w:val="00B50E32"/>
    <w:rsid w:val="00B567E9"/>
    <w:rsid w:val="00B62907"/>
    <w:rsid w:val="00B830A0"/>
    <w:rsid w:val="00B970FC"/>
    <w:rsid w:val="00BC0B41"/>
    <w:rsid w:val="00BC2DDC"/>
    <w:rsid w:val="00BC2FE8"/>
    <w:rsid w:val="00BE30E8"/>
    <w:rsid w:val="00BF265B"/>
    <w:rsid w:val="00C05C34"/>
    <w:rsid w:val="00C079FA"/>
    <w:rsid w:val="00C140BD"/>
    <w:rsid w:val="00C15E96"/>
    <w:rsid w:val="00C227AB"/>
    <w:rsid w:val="00C23D00"/>
    <w:rsid w:val="00C33753"/>
    <w:rsid w:val="00C34E8A"/>
    <w:rsid w:val="00C36709"/>
    <w:rsid w:val="00C6614F"/>
    <w:rsid w:val="00C75171"/>
    <w:rsid w:val="00C812B7"/>
    <w:rsid w:val="00C923B6"/>
    <w:rsid w:val="00C9257A"/>
    <w:rsid w:val="00CA5D8A"/>
    <w:rsid w:val="00CB2B57"/>
    <w:rsid w:val="00CB4C6E"/>
    <w:rsid w:val="00CC0818"/>
    <w:rsid w:val="00CD4EC3"/>
    <w:rsid w:val="00D06716"/>
    <w:rsid w:val="00D06BB8"/>
    <w:rsid w:val="00D17025"/>
    <w:rsid w:val="00D33361"/>
    <w:rsid w:val="00D377E5"/>
    <w:rsid w:val="00D45968"/>
    <w:rsid w:val="00D54E8D"/>
    <w:rsid w:val="00D62C80"/>
    <w:rsid w:val="00D800E3"/>
    <w:rsid w:val="00D867B3"/>
    <w:rsid w:val="00DA00FF"/>
    <w:rsid w:val="00DA1052"/>
    <w:rsid w:val="00DB0887"/>
    <w:rsid w:val="00DB325B"/>
    <w:rsid w:val="00E00533"/>
    <w:rsid w:val="00E03988"/>
    <w:rsid w:val="00E449D3"/>
    <w:rsid w:val="00E519FC"/>
    <w:rsid w:val="00E71D3D"/>
    <w:rsid w:val="00E728E3"/>
    <w:rsid w:val="00E806F7"/>
    <w:rsid w:val="00E91BA2"/>
    <w:rsid w:val="00E94D8E"/>
    <w:rsid w:val="00EA46BC"/>
    <w:rsid w:val="00EB2B61"/>
    <w:rsid w:val="00EB5EFD"/>
    <w:rsid w:val="00EC69CF"/>
    <w:rsid w:val="00ED003C"/>
    <w:rsid w:val="00ED24E8"/>
    <w:rsid w:val="00ED6238"/>
    <w:rsid w:val="00ED757F"/>
    <w:rsid w:val="00EE1475"/>
    <w:rsid w:val="00EE21CA"/>
    <w:rsid w:val="00EF6A9C"/>
    <w:rsid w:val="00F07F24"/>
    <w:rsid w:val="00F147DF"/>
    <w:rsid w:val="00F31CDC"/>
    <w:rsid w:val="00F36F3F"/>
    <w:rsid w:val="00F40BB6"/>
    <w:rsid w:val="00F5532D"/>
    <w:rsid w:val="00F763DC"/>
    <w:rsid w:val="00F86CD4"/>
    <w:rsid w:val="00F86F50"/>
    <w:rsid w:val="00F90188"/>
    <w:rsid w:val="00F96074"/>
    <w:rsid w:val="00FC025F"/>
    <w:rsid w:val="00FD6CB3"/>
    <w:rsid w:val="00FE031D"/>
    <w:rsid w:val="00FE3601"/>
    <w:rsid w:val="00FF298A"/>
    <w:rsid w:val="010546F7"/>
    <w:rsid w:val="01AC7B8B"/>
    <w:rsid w:val="027C6D60"/>
    <w:rsid w:val="03780346"/>
    <w:rsid w:val="03F93F0E"/>
    <w:rsid w:val="04A8353D"/>
    <w:rsid w:val="05386E85"/>
    <w:rsid w:val="09883C30"/>
    <w:rsid w:val="09BA4915"/>
    <w:rsid w:val="0C126D7B"/>
    <w:rsid w:val="0D0038DB"/>
    <w:rsid w:val="0EAA3109"/>
    <w:rsid w:val="0EEA4EEE"/>
    <w:rsid w:val="0FC14D18"/>
    <w:rsid w:val="0FEE000C"/>
    <w:rsid w:val="12B87A4D"/>
    <w:rsid w:val="131302B6"/>
    <w:rsid w:val="16C45501"/>
    <w:rsid w:val="1AFA3B8D"/>
    <w:rsid w:val="1B507430"/>
    <w:rsid w:val="202A2A8E"/>
    <w:rsid w:val="2051305F"/>
    <w:rsid w:val="21D13D20"/>
    <w:rsid w:val="23FE5468"/>
    <w:rsid w:val="24564EC7"/>
    <w:rsid w:val="25732D4D"/>
    <w:rsid w:val="258F1678"/>
    <w:rsid w:val="285E3C7E"/>
    <w:rsid w:val="29BE6975"/>
    <w:rsid w:val="2A9C71B1"/>
    <w:rsid w:val="2B9416DA"/>
    <w:rsid w:val="2BE3522F"/>
    <w:rsid w:val="2BFC64CD"/>
    <w:rsid w:val="2E120A89"/>
    <w:rsid w:val="2F40790F"/>
    <w:rsid w:val="30D26EAE"/>
    <w:rsid w:val="32FB203A"/>
    <w:rsid w:val="35F8354B"/>
    <w:rsid w:val="398F0FAF"/>
    <w:rsid w:val="39D047C0"/>
    <w:rsid w:val="3A3E0317"/>
    <w:rsid w:val="3B193A02"/>
    <w:rsid w:val="3D887561"/>
    <w:rsid w:val="3DEB19BF"/>
    <w:rsid w:val="41D5440F"/>
    <w:rsid w:val="43C538EB"/>
    <w:rsid w:val="46D648D9"/>
    <w:rsid w:val="49F36E67"/>
    <w:rsid w:val="49F53E50"/>
    <w:rsid w:val="4AA00F79"/>
    <w:rsid w:val="4ADC1197"/>
    <w:rsid w:val="4AE12AF6"/>
    <w:rsid w:val="4B0B6498"/>
    <w:rsid w:val="4B112EEF"/>
    <w:rsid w:val="4C0003C7"/>
    <w:rsid w:val="4C3631CA"/>
    <w:rsid w:val="4DD03C33"/>
    <w:rsid w:val="4F3F2363"/>
    <w:rsid w:val="5034363E"/>
    <w:rsid w:val="514554C9"/>
    <w:rsid w:val="524C0674"/>
    <w:rsid w:val="564C05C1"/>
    <w:rsid w:val="59C06909"/>
    <w:rsid w:val="5C8E2DF0"/>
    <w:rsid w:val="5D0F3679"/>
    <w:rsid w:val="5E387672"/>
    <w:rsid w:val="5E9C5ABD"/>
    <w:rsid w:val="5F0B7543"/>
    <w:rsid w:val="60235176"/>
    <w:rsid w:val="6175636C"/>
    <w:rsid w:val="62911341"/>
    <w:rsid w:val="638569EC"/>
    <w:rsid w:val="6459218E"/>
    <w:rsid w:val="657A6506"/>
    <w:rsid w:val="65AE7F5E"/>
    <w:rsid w:val="666F54B8"/>
    <w:rsid w:val="66B7399F"/>
    <w:rsid w:val="681F4667"/>
    <w:rsid w:val="69330D3E"/>
    <w:rsid w:val="6D4A65D5"/>
    <w:rsid w:val="6E0B55F1"/>
    <w:rsid w:val="6F2302C6"/>
    <w:rsid w:val="6FEE79D7"/>
    <w:rsid w:val="73F94B06"/>
    <w:rsid w:val="743D74C0"/>
    <w:rsid w:val="78632CD4"/>
    <w:rsid w:val="78FC32D0"/>
    <w:rsid w:val="793A3A90"/>
    <w:rsid w:val="7F23211C"/>
    <w:rsid w:val="7F242B3A"/>
    <w:rsid w:val="7F8C1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9"/>
    <w:pPr>
      <w:keepNext/>
      <w:keepLines/>
      <w:spacing w:before="340" w:after="330" w:line="576" w:lineRule="auto"/>
      <w:outlineLvl w:val="0"/>
    </w:pPr>
    <w:rPr>
      <w:rFonts w:cs="宋体"/>
      <w:b/>
      <w:bCs/>
      <w:kern w:val="44"/>
      <w:sz w:val="44"/>
      <w:szCs w:val="44"/>
    </w:rPr>
  </w:style>
  <w:style w:type="paragraph" w:styleId="3">
    <w:name w:val="heading 2"/>
    <w:basedOn w:val="1"/>
    <w:next w:val="1"/>
    <w:link w:val="16"/>
    <w:semiHidden/>
    <w:unhideWhenUsed/>
    <w:qFormat/>
    <w:uiPriority w:val="9"/>
    <w:pPr>
      <w:keepNext/>
      <w:keepLines/>
      <w:spacing w:before="260" w:after="260" w:line="415" w:lineRule="auto"/>
      <w:outlineLvl w:val="1"/>
    </w:pPr>
    <w:rPr>
      <w:rFonts w:ascii="Cambria" w:hAnsi="Cambria" w:cs="宋体"/>
      <w:b/>
      <w:bCs/>
      <w:kern w:val="0"/>
      <w:sz w:val="32"/>
      <w:szCs w:val="32"/>
    </w:rPr>
  </w:style>
  <w:style w:type="paragraph" w:styleId="4">
    <w:name w:val="heading 7"/>
    <w:basedOn w:val="1"/>
    <w:next w:val="1"/>
    <w:link w:val="28"/>
    <w:unhideWhenUsed/>
    <w:qFormat/>
    <w:uiPriority w:val="9"/>
    <w:pPr>
      <w:keepNext/>
      <w:keepLines/>
      <w:numPr>
        <w:ilvl w:val="6"/>
        <w:numId w:val="1"/>
      </w:numPr>
      <w:spacing w:before="120" w:after="64" w:line="360" w:lineRule="auto"/>
      <w:outlineLvl w:val="6"/>
    </w:pPr>
    <w:rPr>
      <w:rFonts w:ascii="仿宋_GB2312" w:eastAsia="仿宋_GB2312"/>
      <w:bCs/>
      <w:sz w:val="28"/>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Document Map"/>
    <w:basedOn w:val="1"/>
    <w:link w:val="21"/>
    <w:semiHidden/>
    <w:unhideWhenUsed/>
    <w:qFormat/>
    <w:uiPriority w:val="99"/>
    <w:rPr>
      <w:rFonts w:ascii="Tahoma" w:hAnsi="Tahoma" w:cs="Tahoma"/>
      <w:sz w:val="18"/>
      <w:szCs w:val="18"/>
    </w:rPr>
  </w:style>
  <w:style w:type="paragraph" w:styleId="7">
    <w:name w:val="Balloon Text"/>
    <w:basedOn w:val="1"/>
    <w:link w:val="20"/>
    <w:semiHidden/>
    <w:unhideWhenUsed/>
    <w:qFormat/>
    <w:uiPriority w:val="99"/>
    <w:rPr>
      <w:sz w:val="18"/>
      <w:szCs w:val="18"/>
    </w:rPr>
  </w:style>
  <w:style w:type="paragraph" w:styleId="8">
    <w:name w:val="footer"/>
    <w:basedOn w:val="1"/>
    <w:link w:val="26"/>
    <w:unhideWhenUsed/>
    <w:qFormat/>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unhideWhenUsed/>
    <w:qFormat/>
    <w:uiPriority w:val="99"/>
    <w:rPr>
      <w:color w:val="0000FF"/>
      <w:u w:val="single"/>
    </w:rPr>
  </w:style>
  <w:style w:type="character" w:customStyle="1" w:styleId="15">
    <w:name w:val="标题 1 字符"/>
    <w:basedOn w:val="13"/>
    <w:link w:val="2"/>
    <w:qFormat/>
    <w:uiPriority w:val="9"/>
    <w:rPr>
      <w:rFonts w:ascii="Calibri" w:hAnsi="Calibri" w:eastAsia="宋体" w:cs="宋体"/>
      <w:b/>
      <w:bCs/>
      <w:kern w:val="44"/>
      <w:sz w:val="44"/>
      <w:szCs w:val="44"/>
    </w:rPr>
  </w:style>
  <w:style w:type="character" w:customStyle="1" w:styleId="16">
    <w:name w:val="标题 2 字符"/>
    <w:basedOn w:val="13"/>
    <w:link w:val="3"/>
    <w:semiHidden/>
    <w:qFormat/>
    <w:uiPriority w:val="9"/>
    <w:rPr>
      <w:rFonts w:ascii="Cambria" w:hAnsi="Cambria" w:eastAsia="宋体" w:cs="宋体"/>
      <w:b/>
      <w:bCs/>
      <w:kern w:val="0"/>
      <w:sz w:val="32"/>
      <w:szCs w:val="32"/>
    </w:rPr>
  </w:style>
  <w:style w:type="paragraph" w:styleId="17">
    <w:name w:val="List Paragraph"/>
    <w:basedOn w:val="1"/>
    <w:qFormat/>
    <w:uiPriority w:val="34"/>
    <w:pPr>
      <w:ind w:firstLine="420" w:firstLineChars="200"/>
    </w:pPr>
  </w:style>
  <w:style w:type="paragraph" w:customStyle="1" w:styleId="18">
    <w:name w:val="TOC Heading1"/>
    <w:basedOn w:val="2"/>
    <w:next w:val="1"/>
    <w:semiHidden/>
    <w:unhideWhenUsed/>
    <w:qFormat/>
    <w:uiPriority w:val="39"/>
    <w:pPr>
      <w:widowControl/>
      <w:spacing w:before="480" w:after="0" w:line="276" w:lineRule="auto"/>
      <w:jc w:val="left"/>
      <w:outlineLvl w:val="9"/>
    </w:pPr>
    <w:rPr>
      <w:rFonts w:ascii="Cambria" w:hAnsi="Cambria" w:cs="Times New Roman"/>
      <w:color w:val="365F91"/>
      <w:kern w:val="0"/>
      <w:sz w:val="28"/>
      <w:szCs w:val="28"/>
    </w:rPr>
  </w:style>
  <w:style w:type="paragraph" w:customStyle="1" w:styleId="19">
    <w:name w:val="正文样式"/>
    <w:basedOn w:val="1"/>
    <w:qFormat/>
    <w:uiPriority w:val="0"/>
    <w:pPr>
      <w:spacing w:line="360" w:lineRule="auto"/>
    </w:pPr>
    <w:rPr>
      <w:rFonts w:ascii="Times New Roman" w:hAnsi="Times New Roman"/>
      <w:sz w:val="24"/>
      <w:szCs w:val="24"/>
    </w:rPr>
  </w:style>
  <w:style w:type="character" w:customStyle="1" w:styleId="20">
    <w:name w:val="批注框文本 字符"/>
    <w:basedOn w:val="13"/>
    <w:link w:val="7"/>
    <w:semiHidden/>
    <w:qFormat/>
    <w:uiPriority w:val="99"/>
    <w:rPr>
      <w:rFonts w:ascii="Calibri" w:hAnsi="Calibri" w:eastAsia="宋体" w:cs="Times New Roman"/>
      <w:sz w:val="18"/>
      <w:szCs w:val="18"/>
    </w:rPr>
  </w:style>
  <w:style w:type="character" w:customStyle="1" w:styleId="21">
    <w:name w:val="文档结构图 字符"/>
    <w:basedOn w:val="13"/>
    <w:link w:val="6"/>
    <w:semiHidden/>
    <w:qFormat/>
    <w:uiPriority w:val="99"/>
    <w:rPr>
      <w:rFonts w:ascii="Tahoma" w:hAnsi="Tahoma" w:eastAsia="宋体" w:cs="Tahoma"/>
      <w:sz w:val="18"/>
      <w:szCs w:val="18"/>
    </w:rPr>
  </w:style>
  <w:style w:type="character" w:customStyle="1" w:styleId="22">
    <w:name w:val="apple-converted-space"/>
    <w:basedOn w:val="13"/>
    <w:qFormat/>
    <w:uiPriority w:val="0"/>
  </w:style>
  <w:style w:type="paragraph" w:customStyle="1" w:styleId="23">
    <w:name w:val="Wonders 正文1"/>
    <w:basedOn w:val="1"/>
    <w:link w:val="24"/>
    <w:qFormat/>
    <w:uiPriority w:val="0"/>
    <w:pPr>
      <w:widowControl/>
      <w:overflowPunct w:val="0"/>
      <w:autoSpaceDE w:val="0"/>
      <w:autoSpaceDN w:val="0"/>
      <w:adjustRightInd w:val="0"/>
      <w:spacing w:before="120" w:after="120"/>
      <w:ind w:firstLine="420" w:firstLineChars="200"/>
      <w:textAlignment w:val="baseline"/>
    </w:pPr>
    <w:rPr>
      <w:rFonts w:ascii="Tahoma" w:hAnsi="Tahoma"/>
      <w:kern w:val="0"/>
      <w:szCs w:val="20"/>
      <w:lang w:val="en-GB"/>
    </w:rPr>
  </w:style>
  <w:style w:type="character" w:customStyle="1" w:styleId="24">
    <w:name w:val="Wonders 正文1 字符"/>
    <w:link w:val="23"/>
    <w:qFormat/>
    <w:uiPriority w:val="0"/>
    <w:rPr>
      <w:rFonts w:ascii="Tahoma" w:hAnsi="Tahoma" w:eastAsia="宋体" w:cs="Times New Roman"/>
      <w:sz w:val="21"/>
      <w:lang w:val="en-GB"/>
    </w:rPr>
  </w:style>
  <w:style w:type="character" w:customStyle="1" w:styleId="25">
    <w:name w:val="页眉 字符"/>
    <w:basedOn w:val="13"/>
    <w:link w:val="9"/>
    <w:qFormat/>
    <w:uiPriority w:val="99"/>
    <w:rPr>
      <w:rFonts w:ascii="Calibri" w:hAnsi="Calibri" w:eastAsia="宋体" w:cs="Times New Roman"/>
      <w:kern w:val="2"/>
      <w:sz w:val="18"/>
      <w:szCs w:val="18"/>
    </w:rPr>
  </w:style>
  <w:style w:type="character" w:customStyle="1" w:styleId="26">
    <w:name w:val="页脚 字符"/>
    <w:basedOn w:val="13"/>
    <w:link w:val="8"/>
    <w:qFormat/>
    <w:uiPriority w:val="99"/>
    <w:rPr>
      <w:rFonts w:ascii="Calibri" w:hAnsi="Calibri" w:eastAsia="宋体" w:cs="Times New Roman"/>
      <w:kern w:val="2"/>
      <w:sz w:val="18"/>
      <w:szCs w:val="18"/>
    </w:rPr>
  </w:style>
  <w:style w:type="paragraph" w:customStyle="1" w:styleId="27">
    <w:name w:val="*正文"/>
    <w:basedOn w:val="1"/>
    <w:qFormat/>
    <w:uiPriority w:val="0"/>
    <w:pPr>
      <w:spacing w:line="360" w:lineRule="auto"/>
      <w:ind w:firstLine="200" w:firstLineChars="200"/>
    </w:pPr>
    <w:rPr>
      <w:rFonts w:ascii="仿宋_GB2312" w:hAnsi="等线" w:eastAsia="仿宋_GB2312"/>
      <w:sz w:val="24"/>
      <w:szCs w:val="28"/>
    </w:rPr>
  </w:style>
  <w:style w:type="character" w:customStyle="1" w:styleId="28">
    <w:name w:val="标题 7 字符"/>
    <w:basedOn w:val="13"/>
    <w:link w:val="4"/>
    <w:qFormat/>
    <w:uiPriority w:val="9"/>
    <w:rPr>
      <w:rFonts w:ascii="仿宋_GB2312" w:hAnsi="Calibri" w:eastAsia="仿宋_GB2312" w:cs="Times New Roman"/>
      <w:bCs/>
      <w:kern w:val="2"/>
      <w:sz w:val="28"/>
      <w:szCs w:val="24"/>
    </w:rPr>
  </w:style>
  <w:style w:type="paragraph" w:customStyle="1" w:styleId="29">
    <w:name w:val="表格体-新增"/>
    <w:basedOn w:val="1"/>
    <w:qFormat/>
    <w:uiPriority w:val="0"/>
    <w:pPr>
      <w:spacing w:line="360" w:lineRule="auto"/>
      <w:jc w:val="left"/>
    </w:pPr>
    <w:rPr>
      <w:rFonts w:ascii="宋体" w:hAnsi="宋体" w:cs="宋体"/>
      <w:kern w:val="0"/>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13B4DDA-6B7D-49FF-9950-C5EF6B79008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7</Pages>
  <Words>91</Words>
  <Characters>102</Characters>
  <Lines>7</Lines>
  <Paragraphs>2</Paragraphs>
  <TotalTime>43</TotalTime>
  <ScaleCrop>false</ScaleCrop>
  <LinksUpToDate>false</LinksUpToDate>
  <CharactersWithSpaces>109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2022-06-29T05:53:00Z</dcterms:created>
  <dc:creator>微软用户</dc:creator>
  <cp:lastModifiedBy>yang.Y</cp:lastModifiedBy>
  <dcterms:modified xsi:type="dcterms:W3CDTF">2025-02-20T02:12:56Z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8D00E6CFA8D24C75902FB12F75C2AF3B_13</vt:lpwstr>
  </property>
  <property fmtid="{D5CDD505-2E9C-101B-9397-08002B2CF9AE}" pid="4" name="KSOTemplateDocerSaveRecord">
    <vt:lpwstr>eyJoZGlkIjoiZmY0ZjA3MzhiMzk2NGNiYTAzZDE5NTY2ZDg5NzQ3OGMiLCJ1c2VySWQiOiIyOTgxNDczMjUifQ==</vt:lpwstr>
  </property>
</Properties>
</file>