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305"/>
        <w:spacing w:before="133" w:line="218" w:lineRule="auto"/>
        <w:outlineLvl w:val="0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2"/>
        </w:rPr>
        <w:t>短缺药品价格的风险管理操作指引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3094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第一章</w:t>
      </w:r>
      <w:r>
        <w:rPr>
          <w:rFonts w:ascii="SimHei" w:hAnsi="SimHei" w:eastAsia="SimHei" w:cs="SimHei"/>
          <w:sz w:val="30"/>
          <w:szCs w:val="30"/>
          <w:spacing w:val="35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总</w:t>
      </w:r>
      <w:r>
        <w:rPr>
          <w:rFonts w:ascii="SimHei" w:hAnsi="SimHei" w:eastAsia="SimHei" w:cs="SimHei"/>
          <w:sz w:val="30"/>
          <w:szCs w:val="30"/>
          <w:spacing w:val="34"/>
        </w:rPr>
        <w:t xml:space="preserve">    </w:t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则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right="21" w:firstLine="624"/>
        <w:spacing w:before="98" w:line="354" w:lineRule="auto"/>
        <w:rPr>
          <w:sz w:val="26"/>
          <w:szCs w:val="26"/>
        </w:rPr>
      </w:pPr>
      <w:r>
        <w:rPr>
          <w:rFonts w:ascii="SimHei" w:hAnsi="SimHei" w:eastAsia="SimHei" w:cs="SimHei"/>
          <w:b/>
          <w:bCs/>
          <w:spacing w:val="15"/>
        </w:rPr>
        <w:t>第一条【目的】</w:t>
      </w:r>
      <w:r>
        <w:rPr>
          <w:rFonts w:ascii="SimHei" w:hAnsi="SimHei" w:eastAsia="SimHei" w:cs="SimHei"/>
          <w:spacing w:val="15"/>
        </w:rPr>
        <w:t xml:space="preserve">  </w:t>
      </w:r>
      <w:r>
        <w:rPr>
          <w:spacing w:val="15"/>
        </w:rPr>
        <w:t>为深入贯彻《国务院办公厅关于进一步做</w:t>
      </w:r>
      <w:r>
        <w:rPr>
          <w:spacing w:val="7"/>
        </w:rPr>
        <w:t xml:space="preserve"> </w:t>
      </w:r>
      <w:r>
        <w:rPr>
          <w:spacing w:val="20"/>
        </w:rPr>
        <w:t>好短缺药品保供稳价工作的意见》,进一步指导各地医疗保障部</w:t>
      </w:r>
      <w:r>
        <w:rPr>
          <w:spacing w:val="15"/>
        </w:rPr>
        <w:t xml:space="preserve"> </w:t>
      </w:r>
      <w:r>
        <w:rPr>
          <w:spacing w:val="15"/>
        </w:rPr>
        <w:t>门优化短缺药品和临床必需易短缺药品的挂网服务，系统加强价</w:t>
      </w:r>
      <w:r>
        <w:rPr>
          <w:spacing w:val="18"/>
        </w:rPr>
        <w:t xml:space="preserve"> </w:t>
      </w:r>
      <w:r>
        <w:rPr>
          <w:spacing w:val="17"/>
        </w:rPr>
        <w:t>格风险防范与应对，更好兼顾保供和稳价的</w:t>
      </w:r>
      <w:r>
        <w:rPr>
          <w:spacing w:val="16"/>
        </w:rPr>
        <w:t>均衡关系，依据《中</w:t>
      </w:r>
      <w:r>
        <w:rPr/>
        <w:t xml:space="preserve"> </w:t>
      </w:r>
      <w:r>
        <w:rPr>
          <w:spacing w:val="15"/>
        </w:rPr>
        <w:t>华人民共和国价格法》《中华人民共和国药品管理法》等法律法</w:t>
      </w:r>
      <w:r>
        <w:rPr>
          <w:spacing w:val="18"/>
        </w:rPr>
        <w:t xml:space="preserve"> </w:t>
      </w:r>
      <w:r>
        <w:rPr>
          <w:spacing w:val="15"/>
        </w:rPr>
        <w:t>规，以及药品领域反垄断、反不正当竞争的相关要求，制定本操</w:t>
      </w:r>
      <w:r>
        <w:rPr>
          <w:spacing w:val="18"/>
        </w:rPr>
        <w:t xml:space="preserve"> </w:t>
      </w:r>
      <w:r>
        <w:rPr>
          <w:sz w:val="26"/>
          <w:szCs w:val="26"/>
          <w:spacing w:val="29"/>
        </w:rPr>
        <w:t>作指引。</w:t>
      </w:r>
    </w:p>
    <w:p>
      <w:pPr>
        <w:pStyle w:val="BodyText"/>
        <w:ind w:right="24" w:firstLine="624"/>
        <w:spacing w:before="291" w:line="339" w:lineRule="auto"/>
        <w:rPr/>
      </w:pPr>
      <w:r>
        <w:rPr>
          <w:rFonts w:ascii="SimHei" w:hAnsi="SimHei" w:eastAsia="SimHei" w:cs="SimHei"/>
          <w:b/>
          <w:bCs/>
          <w:spacing w:val="15"/>
        </w:rPr>
        <w:t>第二条【基本定义</w:t>
      </w:r>
      <w:r>
        <w:rPr>
          <w:rFonts w:ascii="LiSu" w:hAnsi="LiSu" w:eastAsia="LiSu" w:cs="LiSu"/>
          <w:b/>
          <w:bCs/>
          <w:spacing w:val="15"/>
        </w:rPr>
        <w:t>】</w:t>
      </w:r>
      <w:r>
        <w:rPr>
          <w:rFonts w:ascii="LiSu" w:hAnsi="LiSu" w:eastAsia="LiSu" w:cs="LiSu"/>
          <w:spacing w:val="15"/>
        </w:rPr>
        <w:t xml:space="preserve">  </w:t>
      </w:r>
      <w:r>
        <w:rPr>
          <w:spacing w:val="15"/>
        </w:rPr>
        <w:t>本操作指引所称短缺药品，其定义参</w:t>
      </w:r>
      <w:r>
        <w:rPr>
          <w:spacing w:val="4"/>
        </w:rPr>
        <w:t xml:space="preserve"> </w:t>
      </w:r>
      <w:r>
        <w:rPr>
          <w:spacing w:val="32"/>
        </w:rPr>
        <w:t>照《国家短缺药品清单管理办法(试行)的通知》(</w:t>
      </w:r>
      <w:r>
        <w:rPr>
          <w:spacing w:val="31"/>
        </w:rPr>
        <w:t>国卫办药政</w:t>
      </w:r>
      <w:r>
        <w:rPr/>
        <w:t xml:space="preserve"> </w:t>
      </w:r>
      <w:r>
        <w:rPr>
          <w:spacing w:val="20"/>
        </w:rPr>
        <w:t>发〔2020〕5号),即经我国药品监督管理部门批准</w:t>
      </w:r>
      <w:r>
        <w:rPr>
          <w:spacing w:val="19"/>
        </w:rPr>
        <w:t>上市，临床必</w:t>
      </w:r>
      <w:r>
        <w:rPr/>
        <w:t xml:space="preserve"> </w:t>
      </w:r>
      <w:r>
        <w:rPr>
          <w:spacing w:val="16"/>
        </w:rPr>
        <w:t>需且不可替代或者不可完全替代，在一定时间或一定区域内供应</w:t>
      </w:r>
      <w:r>
        <w:rPr>
          <w:spacing w:val="2"/>
        </w:rPr>
        <w:t xml:space="preserve"> </w:t>
      </w:r>
      <w:r>
        <w:rPr>
          <w:spacing w:val="6"/>
        </w:rPr>
        <w:t>不足或不稳定的药品。</w:t>
      </w:r>
    </w:p>
    <w:p>
      <w:pPr>
        <w:pStyle w:val="BodyText"/>
        <w:ind w:firstLine="620"/>
        <w:spacing w:before="270" w:line="370" w:lineRule="auto"/>
        <w:jc w:val="both"/>
        <w:rPr/>
      </w:pPr>
      <w:r>
        <w:rPr>
          <w:spacing w:val="35"/>
        </w:rPr>
        <w:t>本操作指引所称临床必需易短缺药品(下称易短缺药品),</w:t>
      </w:r>
      <w:r>
        <w:rPr>
          <w:spacing w:val="8"/>
        </w:rPr>
        <w:t xml:space="preserve"> </w:t>
      </w:r>
      <w:r>
        <w:rPr>
          <w:spacing w:val="32"/>
        </w:rPr>
        <w:t>其定义参照《国家短缺药品清单管理办法(试行)的通知》(国</w:t>
      </w:r>
      <w:r>
        <w:rPr>
          <w:spacing w:val="10"/>
        </w:rPr>
        <w:t xml:space="preserve"> </w:t>
      </w:r>
      <w:r>
        <w:rPr>
          <w:spacing w:val="29"/>
        </w:rPr>
        <w:t>卫办药政发〔2020〕5号),即经我国药品监督管理部门批准上</w:t>
      </w:r>
      <w:r>
        <w:rPr>
          <w:spacing w:val="18"/>
        </w:rPr>
        <w:t xml:space="preserve"> </w:t>
      </w:r>
      <w:r>
        <w:rPr>
          <w:spacing w:val="16"/>
        </w:rPr>
        <w:t>市，临床必需且不可替代或者不可完全替代，供</w:t>
      </w:r>
      <w:r>
        <w:rPr>
          <w:spacing w:val="15"/>
        </w:rPr>
        <w:t>应来源少，存在</w:t>
      </w:r>
      <w:r>
        <w:rPr/>
        <w:t xml:space="preserve"> </w:t>
      </w:r>
      <w:r>
        <w:rPr>
          <w:spacing w:val="27"/>
        </w:rPr>
        <w:t>供给短缺风险的药品，重点关注基本药物和急(抢)救、重大疾</w:t>
      </w:r>
    </w:p>
    <w:p>
      <w:pPr>
        <w:spacing w:line="370" w:lineRule="auto"/>
        <w:sectPr>
          <w:footerReference w:type="default" r:id="rId1"/>
          <w:pgSz w:w="11910" w:h="16840"/>
          <w:pgMar w:top="1431" w:right="1639" w:bottom="1407" w:left="1380" w:header="0" w:footer="1018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spacing w:before="97" w:line="222" w:lineRule="auto"/>
        <w:rPr/>
      </w:pPr>
      <w:r>
        <w:rPr>
          <w:spacing w:val="7"/>
        </w:rPr>
        <w:t>病、公共卫生及特殊人群等用药。</w:t>
      </w:r>
    </w:p>
    <w:p>
      <w:pPr>
        <w:pStyle w:val="BodyText"/>
        <w:ind w:right="294" w:firstLine="614"/>
        <w:spacing w:before="237" w:line="363" w:lineRule="auto"/>
        <w:jc w:val="both"/>
        <w:rPr/>
      </w:pPr>
      <w:r>
        <w:rPr>
          <w:rFonts w:ascii="SimHei" w:hAnsi="SimHei" w:eastAsia="SimHei" w:cs="SimHei"/>
          <w:b/>
          <w:bCs/>
          <w:spacing w:val="15"/>
        </w:rPr>
        <w:t>第三条【适用范围</w:t>
      </w:r>
      <w:r>
        <w:rPr>
          <w:b/>
          <w:bCs/>
          <w:spacing w:val="15"/>
        </w:rPr>
        <w:t>】</w:t>
      </w:r>
      <w:r>
        <w:rPr>
          <w:spacing w:val="15"/>
        </w:rPr>
        <w:t xml:space="preserve">  </w:t>
      </w:r>
      <w:r>
        <w:rPr>
          <w:spacing w:val="15"/>
        </w:rPr>
        <w:t>国家和省级短缺药品供应保障工作会</w:t>
      </w:r>
      <w:r>
        <w:rPr/>
        <w:t xml:space="preserve"> </w:t>
      </w:r>
      <w:r>
        <w:rPr>
          <w:spacing w:val="26"/>
        </w:rPr>
        <w:t>商联动机制(下称联动机制)各成员单位联合印发的《短缺药品</w:t>
      </w:r>
      <w:r>
        <w:rPr/>
        <w:t xml:space="preserve"> </w:t>
      </w:r>
      <w:r>
        <w:rPr>
          <w:spacing w:val="21"/>
        </w:rPr>
        <w:t>清单》《临床必需易短缺药品重点监测清单》</w:t>
      </w:r>
      <w:r>
        <w:rPr>
          <w:spacing w:val="5"/>
        </w:rPr>
        <w:t xml:space="preserve">  </w:t>
      </w:r>
      <w:r>
        <w:rPr>
          <w:spacing w:val="21"/>
        </w:rPr>
        <w:t>(下称“两个清</w:t>
      </w:r>
      <w:r>
        <w:rPr/>
        <w:t xml:space="preserve"> </w:t>
      </w:r>
      <w:r>
        <w:rPr>
          <w:spacing w:val="16"/>
        </w:rPr>
        <w:t>单”)内药品，其挂网服务及价格治理适用本操作指</w:t>
      </w:r>
      <w:r>
        <w:rPr>
          <w:spacing w:val="15"/>
        </w:rPr>
        <w:t>引。</w:t>
      </w:r>
    </w:p>
    <w:p>
      <w:pPr>
        <w:pStyle w:val="BodyText"/>
        <w:ind w:right="303" w:firstLine="610"/>
        <w:spacing w:line="361" w:lineRule="auto"/>
        <w:jc w:val="both"/>
        <w:rPr/>
      </w:pPr>
      <w:r>
        <w:rPr>
          <w:spacing w:val="15"/>
        </w:rPr>
        <w:t>国家和省级联动机制牵头部门正式提请或要求配合进行应急</w:t>
      </w:r>
      <w:r>
        <w:rPr>
          <w:spacing w:val="10"/>
        </w:rPr>
        <w:t xml:space="preserve"> </w:t>
      </w:r>
      <w:r>
        <w:rPr>
          <w:spacing w:val="15"/>
        </w:rPr>
        <w:t>处理以优先保障供应的清单外药品，其挂网服务及价格治理参照</w:t>
      </w:r>
      <w:r>
        <w:rPr>
          <w:spacing w:val="18"/>
        </w:rPr>
        <w:t xml:space="preserve"> </w:t>
      </w:r>
      <w:r>
        <w:rPr>
          <w:spacing w:val="6"/>
        </w:rPr>
        <w:t>本操作指引实施。</w:t>
      </w:r>
    </w:p>
    <w:p>
      <w:pPr>
        <w:pStyle w:val="BodyText"/>
        <w:ind w:right="308" w:firstLine="610"/>
        <w:spacing w:before="1" w:line="369" w:lineRule="auto"/>
        <w:rPr/>
      </w:pPr>
      <w:r>
        <w:rPr>
          <w:spacing w:val="16"/>
        </w:rPr>
        <w:t>以上药品已实施国家或省集中带量采购的，协议期内优先执</w:t>
      </w:r>
      <w:r>
        <w:rPr>
          <w:spacing w:val="7"/>
        </w:rPr>
        <w:t xml:space="preserve"> </w:t>
      </w:r>
      <w:r>
        <w:rPr>
          <w:spacing w:val="10"/>
        </w:rPr>
        <w:t>行集中带量采购政策，履行集中带量采购协议。</w:t>
      </w:r>
    </w:p>
    <w:p>
      <w:pPr>
        <w:pStyle w:val="BodyText"/>
        <w:ind w:right="297" w:firstLine="614"/>
        <w:spacing w:before="2" w:line="358" w:lineRule="auto"/>
        <w:rPr/>
      </w:pPr>
      <w:r>
        <w:rPr>
          <w:rFonts w:ascii="SimHei" w:hAnsi="SimHei" w:eastAsia="SimHei" w:cs="SimHei"/>
          <w:b/>
          <w:bCs/>
          <w:spacing w:val="12"/>
        </w:rPr>
        <w:t>第四条【基本原则</w:t>
      </w:r>
      <w:r>
        <w:rPr>
          <w:b/>
          <w:bCs/>
          <w:spacing w:val="12"/>
        </w:rPr>
        <w:t>】</w:t>
      </w:r>
      <w:r>
        <w:rPr>
          <w:spacing w:val="50"/>
        </w:rPr>
        <w:t xml:space="preserve">  </w:t>
      </w:r>
      <w:r>
        <w:rPr>
          <w:spacing w:val="12"/>
        </w:rPr>
        <w:t>短缺易短缺药品价格风险管理坚持以</w:t>
      </w:r>
      <w:r>
        <w:rPr>
          <w:spacing w:val="1"/>
        </w:rPr>
        <w:t xml:space="preserve"> </w:t>
      </w:r>
      <w:r>
        <w:rPr/>
        <w:t>下基本原则：</w:t>
      </w:r>
    </w:p>
    <w:p>
      <w:pPr>
        <w:pStyle w:val="BodyText"/>
        <w:ind w:right="294" w:firstLine="614"/>
        <w:spacing w:before="4" w:line="328" w:lineRule="auto"/>
        <w:rPr/>
      </w:pPr>
      <w:r>
        <w:rPr>
          <w:rFonts w:ascii="SimSun" w:hAnsi="SimSun" w:eastAsia="SimSun" w:cs="SimSun"/>
          <w:b/>
          <w:bCs/>
          <w:spacing w:val="5"/>
        </w:rPr>
        <w:t>1.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b/>
          <w:bCs/>
          <w:spacing w:val="5"/>
        </w:rPr>
        <w:t>遵循清单，保供优先。</w:t>
      </w:r>
      <w:r>
        <w:rPr>
          <w:spacing w:val="5"/>
        </w:rPr>
        <w:t xml:space="preserve"> </w:t>
      </w:r>
      <w:r>
        <w:rPr>
          <w:spacing w:val="5"/>
        </w:rPr>
        <w:t>严格对照“两个清单”以及联动机</w:t>
      </w:r>
      <w:r>
        <w:rPr/>
        <w:t xml:space="preserve"> </w:t>
      </w:r>
      <w:r>
        <w:rPr>
          <w:spacing w:val="15"/>
        </w:rPr>
        <w:t>制牵头部门要求应急处理的具体品种，坚持将“保供”放在优先</w:t>
      </w:r>
      <w:r>
        <w:rPr>
          <w:spacing w:val="13"/>
        </w:rPr>
        <w:t xml:space="preserve"> </w:t>
      </w:r>
      <w:r>
        <w:rPr>
          <w:spacing w:val="15"/>
        </w:rPr>
        <w:t>位置，不进行妨碍保供机制正常运行的行政干预，不自行扩大或</w:t>
      </w:r>
      <w:r>
        <w:rPr>
          <w:spacing w:val="15"/>
        </w:rPr>
        <w:t xml:space="preserve"> </w:t>
      </w:r>
      <w:r>
        <w:rPr>
          <w:spacing w:val="6"/>
        </w:rPr>
        <w:t>缩小挂网政策支持范围。</w:t>
      </w:r>
    </w:p>
    <w:p>
      <w:pPr>
        <w:pStyle w:val="BodyText"/>
        <w:ind w:firstLine="614"/>
        <w:spacing w:before="234" w:line="329" w:lineRule="auto"/>
        <w:rPr/>
      </w:pPr>
      <w:r>
        <w:rPr>
          <w:rFonts w:ascii="SimSun" w:hAnsi="SimSun" w:eastAsia="SimSun" w:cs="SimSun"/>
          <w:b/>
          <w:bCs/>
          <w:spacing w:val="17"/>
        </w:rPr>
        <w:t>2.</w:t>
      </w:r>
      <w:r>
        <w:rPr>
          <w:rFonts w:ascii="SimSun" w:hAnsi="SimSun" w:eastAsia="SimSun" w:cs="SimSun"/>
          <w:spacing w:val="-55"/>
        </w:rPr>
        <w:t xml:space="preserve"> </w:t>
      </w:r>
      <w:r>
        <w:rPr>
          <w:b/>
          <w:bCs/>
          <w:spacing w:val="17"/>
        </w:rPr>
        <w:t>市场定价，直接挂网。</w:t>
      </w:r>
      <w:r>
        <w:rPr>
          <w:spacing w:val="17"/>
        </w:rPr>
        <w:t xml:space="preserve"> </w:t>
      </w:r>
      <w:r>
        <w:rPr>
          <w:spacing w:val="17"/>
        </w:rPr>
        <w:t>短缺易短缺药</w:t>
      </w:r>
      <w:r>
        <w:rPr>
          <w:spacing w:val="16"/>
        </w:rPr>
        <w:t>品价格坚持市场决</w:t>
      </w:r>
      <w:r>
        <w:rPr/>
        <w:t xml:space="preserve">   </w:t>
      </w:r>
      <w:r>
        <w:rPr>
          <w:spacing w:val="15"/>
        </w:rPr>
        <w:t>定。企业作为药品价格的第一责任人，可以根据成本变化等合理</w:t>
      </w:r>
      <w:r>
        <w:rPr>
          <w:spacing w:val="2"/>
        </w:rPr>
        <w:t xml:space="preserve">   </w:t>
      </w:r>
      <w:r>
        <w:rPr>
          <w:spacing w:val="26"/>
        </w:rPr>
        <w:t>因素自主调节价格；医药集中采购机构落实“高效办成一件事”</w:t>
      </w:r>
      <w:r>
        <w:rPr>
          <w:spacing w:val="14"/>
        </w:rPr>
        <w:t xml:space="preserve"> </w:t>
      </w:r>
      <w:r>
        <w:rPr>
          <w:spacing w:val="2"/>
        </w:rPr>
        <w:t>的要求直接挂网。</w:t>
      </w:r>
    </w:p>
    <w:p>
      <w:pPr>
        <w:pStyle w:val="BodyText"/>
        <w:ind w:right="311" w:firstLine="614"/>
        <w:spacing w:before="245" w:line="294" w:lineRule="auto"/>
        <w:rPr/>
      </w:pPr>
      <w:r>
        <w:rPr>
          <w:rFonts w:ascii="SimSun" w:hAnsi="SimSun" w:eastAsia="SimSun" w:cs="SimSun"/>
          <w:b/>
          <w:bCs/>
          <w:spacing w:val="6"/>
        </w:rPr>
        <w:t>3.</w:t>
      </w:r>
      <w:r>
        <w:rPr>
          <w:rFonts w:ascii="SimSun" w:hAnsi="SimSun" w:eastAsia="SimSun" w:cs="SimSun"/>
          <w:spacing w:val="-82"/>
        </w:rPr>
        <w:t xml:space="preserve"> </w:t>
      </w:r>
      <w:r>
        <w:rPr>
          <w:b/>
          <w:bCs/>
          <w:spacing w:val="6"/>
        </w:rPr>
        <w:t>防治结合，分类管理。</w:t>
      </w:r>
      <w:r>
        <w:rPr>
          <w:spacing w:val="6"/>
        </w:rPr>
        <w:t xml:space="preserve"> </w:t>
      </w:r>
      <w:r>
        <w:rPr>
          <w:spacing w:val="6"/>
        </w:rPr>
        <w:t>坚持公平合理、透</w:t>
      </w:r>
      <w:r>
        <w:rPr>
          <w:spacing w:val="5"/>
        </w:rPr>
        <w:t>明均衡的价格导</w:t>
      </w:r>
      <w:r>
        <w:rPr/>
        <w:t xml:space="preserve"> </w:t>
      </w:r>
      <w:r>
        <w:rPr>
          <w:spacing w:val="15"/>
        </w:rPr>
        <w:t>向，在受理挂网时加强信息披露，研判潜在价格风险，采取差异</w:t>
      </w:r>
    </w:p>
    <w:p>
      <w:pPr>
        <w:spacing w:line="294" w:lineRule="auto"/>
        <w:sectPr>
          <w:footerReference w:type="default" r:id="rId2"/>
          <w:pgSz w:w="11910" w:h="16840"/>
          <w:pgMar w:top="1431" w:right="1006" w:bottom="1397" w:left="1759" w:header="0" w:footer="1006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right="124"/>
        <w:spacing w:before="97" w:line="372" w:lineRule="auto"/>
        <w:rPr/>
      </w:pPr>
      <w:r>
        <w:rPr>
          <w:spacing w:val="16"/>
        </w:rPr>
        <w:t>化的直接挂网措施；在完成挂网后持续加强监测评估，必要时采</w:t>
      </w:r>
      <w:r>
        <w:rPr>
          <w:spacing w:val="16"/>
        </w:rPr>
        <w:t xml:space="preserve"> </w:t>
      </w:r>
      <w:r>
        <w:rPr>
          <w:spacing w:val="10"/>
        </w:rPr>
        <w:t>取函询约谈、信用评价等措施处置价格风险。</w:t>
      </w:r>
    </w:p>
    <w:p>
      <w:pPr>
        <w:pStyle w:val="BodyText"/>
        <w:ind w:firstLine="620"/>
        <w:spacing w:before="13" w:line="376" w:lineRule="auto"/>
        <w:jc w:val="both"/>
        <w:rPr/>
      </w:pPr>
      <w:r>
        <w:rPr>
          <w:rFonts w:ascii="SimSun" w:hAnsi="SimSun" w:eastAsia="SimSun" w:cs="SimSun"/>
          <w:spacing w:val="18"/>
        </w:rPr>
        <w:t>4.</w:t>
      </w:r>
      <w:r>
        <w:rPr>
          <w:rFonts w:ascii="SimSun" w:hAnsi="SimSun" w:eastAsia="SimSun" w:cs="SimSun"/>
          <w:spacing w:val="-44"/>
        </w:rPr>
        <w:t xml:space="preserve"> </w:t>
      </w:r>
      <w:r>
        <w:rPr>
          <w:spacing w:val="18"/>
        </w:rPr>
        <w:t>首涨负责，协同联动。首个受理涨价挂网的省份(下称首</w:t>
      </w:r>
      <w:r>
        <w:rPr/>
        <w:t xml:space="preserve"> </w:t>
      </w:r>
      <w:r>
        <w:rPr>
          <w:spacing w:val="26"/>
        </w:rPr>
        <w:t>涨省)牵头承担资料复核、价格和成本调查、督促整改等责任，</w:t>
      </w:r>
      <w:r>
        <w:rPr>
          <w:spacing w:val="10"/>
        </w:rPr>
        <w:t xml:space="preserve"> </w:t>
      </w:r>
      <w:r>
        <w:rPr>
          <w:spacing w:val="17"/>
        </w:rPr>
        <w:t>主动向其他省份共享挂网信息和风险处置结果等情况</w:t>
      </w:r>
      <w:r>
        <w:rPr>
          <w:spacing w:val="16"/>
        </w:rPr>
        <w:t>。涨价品种</w:t>
      </w:r>
      <w:r>
        <w:rPr/>
        <w:t xml:space="preserve"> </w:t>
      </w:r>
      <w:r>
        <w:rPr>
          <w:spacing w:val="16"/>
        </w:rPr>
        <w:t>的产地省，以及采购金额排名靠前的省份积极配合首涨省开展工</w:t>
      </w:r>
      <w:r>
        <w:rPr>
          <w:spacing w:val="5"/>
        </w:rPr>
        <w:t xml:space="preserve">  </w:t>
      </w:r>
      <w:r>
        <w:rPr>
          <w:spacing w:val="28"/>
        </w:rPr>
        <w:t>作。其他省份跟进受理涨价挂网时，充分参考首涨省提供的情</w:t>
      </w:r>
      <w:r>
        <w:rPr/>
        <w:t xml:space="preserve">  </w:t>
      </w:r>
      <w:r>
        <w:rPr>
          <w:spacing w:val="7"/>
        </w:rPr>
        <w:t>况，加强协同联动。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2784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8"/>
        </w:rPr>
        <w:t>第二章</w:t>
      </w:r>
      <w:r>
        <w:rPr>
          <w:rFonts w:ascii="SimHei" w:hAnsi="SimHei" w:eastAsia="SimHei" w:cs="SimHei"/>
          <w:sz w:val="30"/>
          <w:szCs w:val="30"/>
          <w:spacing w:val="28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28"/>
        </w:rPr>
        <w:t>价格风险防范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firstLine="624"/>
        <w:spacing w:before="97" w:line="376" w:lineRule="auto"/>
        <w:jc w:val="both"/>
        <w:rPr/>
      </w:pPr>
      <w:r>
        <w:rPr>
          <w:rFonts w:ascii="SimHei" w:hAnsi="SimHei" w:eastAsia="SimHei" w:cs="SimHei"/>
          <w:b/>
          <w:bCs/>
          <w:spacing w:val="13"/>
        </w:rPr>
        <w:t>第五条【直接挂网</w:t>
      </w:r>
      <w:r>
        <w:rPr>
          <w:b/>
          <w:bCs/>
          <w:spacing w:val="13"/>
        </w:rPr>
        <w:t>】</w:t>
      </w:r>
      <w:r>
        <w:rPr>
          <w:spacing w:val="53"/>
        </w:rPr>
        <w:t xml:space="preserve">  </w:t>
      </w:r>
      <w:r>
        <w:rPr>
          <w:spacing w:val="13"/>
        </w:rPr>
        <w:t>短缺药品、本省平台同</w:t>
      </w:r>
      <w:r>
        <w:rPr>
          <w:spacing w:val="12"/>
        </w:rPr>
        <w:t>品种所有厂牌</w:t>
      </w:r>
      <w:r>
        <w:rPr>
          <w:spacing w:val="1"/>
        </w:rPr>
        <w:t xml:space="preserve"> </w:t>
      </w:r>
      <w:r>
        <w:rPr>
          <w:spacing w:val="26"/>
        </w:rPr>
        <w:t>配送率连续3个月低于10%的易短缺药品，以</w:t>
      </w:r>
      <w:r>
        <w:rPr>
          <w:spacing w:val="25"/>
        </w:rPr>
        <w:t>及联动机制牵头部</w:t>
      </w:r>
      <w:r>
        <w:rPr/>
        <w:t xml:space="preserve">  </w:t>
      </w:r>
      <w:r>
        <w:rPr>
          <w:spacing w:val="16"/>
        </w:rPr>
        <w:t>门要求应急处理的清单外药品，上市许可持有人以短缺药名义利</w:t>
      </w:r>
      <w:r>
        <w:rPr>
          <w:spacing w:val="12"/>
        </w:rPr>
        <w:t xml:space="preserve"> </w:t>
      </w:r>
      <w:r>
        <w:rPr>
          <w:spacing w:val="16"/>
        </w:rPr>
        <w:t>用直接挂网渠道要求涨价的，可以向省级医药集中采购机构申报</w:t>
      </w:r>
      <w:r>
        <w:rPr>
          <w:spacing w:val="4"/>
        </w:rPr>
        <w:t xml:space="preserve">  </w:t>
      </w:r>
      <w:r>
        <w:rPr>
          <w:spacing w:val="21"/>
        </w:rPr>
        <w:t>直接挂网或直接调整挂网价格。首涨省视情况分别采取直通型、</w:t>
      </w:r>
      <w:r>
        <w:rPr/>
        <w:t xml:space="preserve"> </w:t>
      </w:r>
      <w:r>
        <w:rPr>
          <w:spacing w:val="23"/>
        </w:rPr>
        <w:t>递补型及附条件等方式办理直接挂网或直接调</w:t>
      </w:r>
      <w:r>
        <w:rPr>
          <w:spacing w:val="22"/>
        </w:rPr>
        <w:t>整挂网价格(详见</w:t>
      </w:r>
      <w:r>
        <w:rPr/>
        <w:t xml:space="preserve"> </w:t>
      </w:r>
      <w:r>
        <w:rPr>
          <w:spacing w:val="12"/>
        </w:rPr>
        <w:t>附件1)。</w:t>
      </w:r>
    </w:p>
    <w:p>
      <w:pPr>
        <w:pStyle w:val="BodyText"/>
        <w:ind w:right="107" w:firstLine="620"/>
        <w:spacing w:before="34" w:line="376" w:lineRule="auto"/>
        <w:jc w:val="both"/>
        <w:rPr/>
      </w:pPr>
      <w:r>
        <w:rPr>
          <w:spacing w:val="17"/>
        </w:rPr>
        <w:t>短缺易短缺药品新批准上市产品，首次向医药集中采购机构</w:t>
      </w:r>
      <w:r>
        <w:rPr>
          <w:spacing w:val="9"/>
        </w:rPr>
        <w:t xml:space="preserve"> </w:t>
      </w:r>
      <w:r>
        <w:rPr>
          <w:spacing w:val="17"/>
        </w:rPr>
        <w:t>申报挂网，以及已挂网产品新增剂型规格以高于药品差价比价规</w:t>
      </w:r>
      <w:r>
        <w:rPr>
          <w:spacing w:val="5"/>
        </w:rPr>
        <w:t xml:space="preserve"> </w:t>
      </w:r>
      <w:r>
        <w:rPr>
          <w:spacing w:val="16"/>
        </w:rPr>
        <w:t>则计算结果的水平，变相涨价申报挂网的情形</w:t>
      </w:r>
      <w:r>
        <w:rPr>
          <w:spacing w:val="15"/>
        </w:rPr>
        <w:t>，视同首涨，首个</w:t>
      </w:r>
      <w:r>
        <w:rPr/>
        <w:t xml:space="preserve"> </w:t>
      </w:r>
      <w:r>
        <w:rPr>
          <w:spacing w:val="11"/>
        </w:rPr>
        <w:t>受理省份的医药集中采购机构按首涨做好价格风险防范。</w:t>
      </w:r>
    </w:p>
    <w:p>
      <w:pPr>
        <w:spacing w:line="376" w:lineRule="auto"/>
        <w:sectPr>
          <w:footerReference w:type="default" r:id="rId3"/>
          <w:pgSz w:w="11910" w:h="16840"/>
          <w:pgMar w:top="1431" w:right="1550" w:bottom="1357" w:left="1370" w:header="0" w:footer="968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right="96" w:firstLine="614"/>
        <w:spacing w:before="97" w:line="363" w:lineRule="auto"/>
        <w:jc w:val="both"/>
        <w:rPr/>
      </w:pPr>
      <w:r>
        <w:rPr>
          <w:rFonts w:ascii="SimHei" w:hAnsi="SimHei" w:eastAsia="SimHei" w:cs="SimHei"/>
          <w:b/>
          <w:bCs/>
          <w:spacing w:val="12"/>
        </w:rPr>
        <w:t>第六条【信息披露</w:t>
      </w:r>
      <w:r>
        <w:rPr>
          <w:b/>
          <w:bCs/>
          <w:spacing w:val="12"/>
        </w:rPr>
        <w:t>】</w:t>
      </w:r>
      <w:r>
        <w:rPr>
          <w:spacing w:val="43"/>
        </w:rPr>
        <w:t xml:space="preserve">  </w:t>
      </w:r>
      <w:r>
        <w:rPr>
          <w:spacing w:val="12"/>
        </w:rPr>
        <w:t>上市许可持有人以短缺</w:t>
      </w:r>
      <w:r>
        <w:rPr>
          <w:spacing w:val="11"/>
        </w:rPr>
        <w:t>药名义利用直</w:t>
      </w:r>
      <w:r>
        <w:rPr>
          <w:spacing w:val="1"/>
        </w:rPr>
        <w:t xml:space="preserve"> </w:t>
      </w:r>
      <w:r>
        <w:rPr>
          <w:spacing w:val="15"/>
        </w:rPr>
        <w:t>接挂网渠道要求涨价的，应向省级医药集中采购机构披露以</w:t>
      </w:r>
      <w:r>
        <w:rPr>
          <w:spacing w:val="14"/>
        </w:rPr>
        <w:t>下信</w:t>
      </w:r>
      <w:r>
        <w:rPr/>
        <w:t xml:space="preserve"> </w:t>
      </w:r>
      <w:r>
        <w:rPr>
          <w:spacing w:val="28"/>
        </w:rPr>
        <w:t>息并提供相应书证，涉及同种药品多个剂型规格的，</w:t>
      </w:r>
      <w:r>
        <w:rPr>
          <w:spacing w:val="27"/>
        </w:rPr>
        <w:t>应以通用</w:t>
      </w:r>
      <w:r>
        <w:rPr/>
        <w:t xml:space="preserve"> </w:t>
      </w:r>
      <w:r>
        <w:rPr>
          <w:spacing w:val="9"/>
        </w:rPr>
        <w:t>名、厂牌、剂型、规格均相同的药品为单位分开披露信息：</w:t>
      </w:r>
    </w:p>
    <w:p>
      <w:pPr>
        <w:pStyle w:val="BodyText"/>
        <w:ind w:right="123" w:firstLine="609"/>
        <w:spacing w:before="12" w:line="316" w:lineRule="auto"/>
        <w:rPr/>
      </w:pPr>
      <w:r>
        <w:rPr>
          <w:rFonts w:ascii="SimSun" w:hAnsi="SimSun" w:eastAsia="SimSun" w:cs="SimSun"/>
          <w:spacing w:val="12"/>
        </w:rPr>
        <w:t>1.</w:t>
      </w:r>
      <w:r>
        <w:rPr>
          <w:rFonts w:ascii="SimSun" w:hAnsi="SimSun" w:eastAsia="SimSun" w:cs="SimSun"/>
          <w:spacing w:val="-56"/>
        </w:rPr>
        <w:t xml:space="preserve"> </w:t>
      </w:r>
      <w:r>
        <w:rPr>
          <w:spacing w:val="12"/>
        </w:rPr>
        <w:t>该药品上市许可持有人、生产企业、设计产能、生产</w:t>
      </w:r>
      <w:r>
        <w:rPr>
          <w:spacing w:val="11"/>
        </w:rPr>
        <w:t>状态</w:t>
      </w:r>
      <w:r>
        <w:rPr/>
        <w:t xml:space="preserve"> </w:t>
      </w:r>
      <w:r>
        <w:rPr>
          <w:spacing w:val="15"/>
        </w:rPr>
        <w:t>以及生产供应短缺的原因。上市许可持有人委托代办的，</w:t>
      </w:r>
      <w:r>
        <w:rPr>
          <w:spacing w:val="14"/>
        </w:rPr>
        <w:t>应提供</w:t>
      </w:r>
      <w:r>
        <w:rPr/>
        <w:t xml:space="preserve"> </w:t>
      </w:r>
      <w:r>
        <w:rPr>
          <w:spacing w:val="7"/>
        </w:rPr>
        <w:t>上市许可持有人出具的委托书。</w:t>
      </w:r>
    </w:p>
    <w:p>
      <w:pPr>
        <w:pStyle w:val="BodyText"/>
        <w:ind w:right="90" w:firstLine="609"/>
        <w:spacing w:before="227" w:line="328" w:lineRule="auto"/>
        <w:rPr/>
      </w:pPr>
      <w:r>
        <w:rPr>
          <w:rFonts w:ascii="SimSun" w:hAnsi="SimSun" w:eastAsia="SimSun" w:cs="SimSun"/>
          <w:spacing w:val="12"/>
        </w:rPr>
        <w:t>2.</w:t>
      </w:r>
      <w:r>
        <w:rPr>
          <w:rFonts w:ascii="SimSun" w:hAnsi="SimSun" w:eastAsia="SimSun" w:cs="SimSun"/>
          <w:spacing w:val="-25"/>
        </w:rPr>
        <w:t xml:space="preserve"> </w:t>
      </w:r>
      <w:r>
        <w:rPr>
          <w:spacing w:val="12"/>
        </w:rPr>
        <w:t>以各个阶段首涨省为轴线，提供该药品自上市以来挂网价</w:t>
      </w:r>
      <w:r>
        <w:rPr/>
        <w:t xml:space="preserve"> </w:t>
      </w:r>
      <w:r>
        <w:rPr>
          <w:spacing w:val="15"/>
        </w:rPr>
        <w:t>的历史沿革，包括首涨省、价格水平、涨价时间等，期间上市许</w:t>
      </w:r>
      <w:r>
        <w:rPr>
          <w:spacing w:val="2"/>
        </w:rPr>
        <w:t xml:space="preserve"> </w:t>
      </w:r>
      <w:r>
        <w:rPr>
          <w:spacing w:val="15"/>
        </w:rPr>
        <w:t>可持有人或者委托加工生产变更的，均视为同一产品延伸提供其</w:t>
      </w:r>
      <w:r>
        <w:rPr/>
        <w:t xml:space="preserve"> </w:t>
      </w:r>
      <w:r>
        <w:rPr>
          <w:spacing w:val="6"/>
        </w:rPr>
        <w:t>价格历史沿革情况。</w:t>
      </w:r>
    </w:p>
    <w:p>
      <w:pPr>
        <w:pStyle w:val="BodyText"/>
        <w:ind w:firstLine="609"/>
        <w:spacing w:before="239" w:line="316" w:lineRule="auto"/>
        <w:rPr/>
      </w:pPr>
      <w:r>
        <w:rPr>
          <w:rFonts w:ascii="SimSun" w:hAnsi="SimSun" w:eastAsia="SimSun" w:cs="SimSun"/>
          <w:spacing w:val="12"/>
        </w:rPr>
        <w:t>3.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spacing w:val="12"/>
        </w:rPr>
        <w:t>该药品活跃区同用途产品当前各省的挂网价，同用途产品</w:t>
      </w:r>
      <w:r>
        <w:rPr/>
        <w:t xml:space="preserve"> </w:t>
      </w:r>
      <w:r>
        <w:rPr>
          <w:spacing w:val="25"/>
        </w:rPr>
        <w:t>的范围同时包括厂牌(指通用名剂型规格均相同，仅厂牌不同。</w:t>
      </w:r>
      <w:r>
        <w:rPr/>
        <w:t xml:space="preserve"> </w:t>
      </w:r>
      <w:r>
        <w:rPr>
          <w:spacing w:val="10"/>
        </w:rPr>
        <w:t>后续概念以此类推)、规格、剂型和通用名。</w:t>
      </w:r>
    </w:p>
    <w:p>
      <w:pPr>
        <w:pStyle w:val="BodyText"/>
        <w:ind w:right="111" w:firstLine="609"/>
        <w:spacing w:before="237" w:line="339" w:lineRule="auto"/>
        <w:rPr/>
      </w:pPr>
      <w:r>
        <w:rPr>
          <w:rFonts w:ascii="SimSun" w:hAnsi="SimSun" w:eastAsia="SimSun" w:cs="SimSun"/>
          <w:spacing w:val="34"/>
        </w:rPr>
        <w:t>4.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34"/>
        </w:rPr>
        <w:t>挂网价的具体构成(详见附件2),并对推动挂网价上涨</w:t>
      </w:r>
      <w:r>
        <w:rPr/>
        <w:t xml:space="preserve"> </w:t>
      </w:r>
      <w:r>
        <w:rPr>
          <w:spacing w:val="27"/>
        </w:rPr>
        <w:t>的成本因素作重点说明，定量分析成本因素</w:t>
      </w:r>
      <w:r>
        <w:rPr>
          <w:spacing w:val="26"/>
        </w:rPr>
        <w:t>对挂网价涨幅的影</w:t>
      </w:r>
      <w:r>
        <w:rPr/>
        <w:t xml:space="preserve"> </w:t>
      </w:r>
      <w:r>
        <w:rPr>
          <w:spacing w:val="26"/>
        </w:rPr>
        <w:t>响。例如，外购原料药(或其他昂贵辅料)成本大</w:t>
      </w:r>
      <w:r>
        <w:rPr>
          <w:spacing w:val="25"/>
        </w:rPr>
        <w:t>幅上升的，按</w:t>
      </w:r>
      <w:r>
        <w:rPr/>
        <w:t xml:space="preserve"> </w:t>
      </w:r>
      <w:r>
        <w:rPr>
          <w:spacing w:val="27"/>
        </w:rPr>
        <w:t>实际用量测算原料药涨价对挂网价的具体影响，并提供采购合</w:t>
      </w:r>
      <w:r>
        <w:rPr>
          <w:spacing w:val="6"/>
        </w:rPr>
        <w:t xml:space="preserve"> </w:t>
      </w:r>
      <w:r>
        <w:rPr>
          <w:spacing w:val="15"/>
        </w:rPr>
        <w:t>同、部分批次的完税凭证复印件等；厂房搬迁重建导致成本大幅</w:t>
      </w:r>
      <w:r>
        <w:rPr>
          <w:spacing w:val="4"/>
        </w:rPr>
        <w:t xml:space="preserve"> </w:t>
      </w:r>
      <w:r>
        <w:rPr>
          <w:spacing w:val="10"/>
        </w:rPr>
        <w:t>上升的，提供工程概算、决算等财务资料复印件。</w:t>
      </w:r>
    </w:p>
    <w:p>
      <w:pPr>
        <w:pStyle w:val="BodyText"/>
        <w:ind w:right="129" w:firstLine="609"/>
        <w:spacing w:before="235" w:line="296" w:lineRule="auto"/>
        <w:rPr/>
      </w:pPr>
      <w:r>
        <w:rPr>
          <w:rFonts w:ascii="SimSun" w:hAnsi="SimSun" w:eastAsia="SimSun" w:cs="SimSun"/>
          <w:spacing w:val="12"/>
        </w:rPr>
        <w:t>5.</w:t>
      </w:r>
      <w:r>
        <w:rPr>
          <w:rFonts w:ascii="SimSun" w:hAnsi="SimSun" w:eastAsia="SimSun" w:cs="SimSun"/>
          <w:spacing w:val="-62"/>
        </w:rPr>
        <w:t xml:space="preserve"> </w:t>
      </w:r>
      <w:r>
        <w:rPr>
          <w:spacing w:val="12"/>
        </w:rPr>
        <w:t>该药品当前的实际全国总代理、各省级代理企业，以</w:t>
      </w:r>
      <w:r>
        <w:rPr>
          <w:spacing w:val="11"/>
        </w:rPr>
        <w:t>及对</w:t>
      </w:r>
      <w:r>
        <w:rPr/>
        <w:t xml:space="preserve"> </w:t>
      </w:r>
      <w:r>
        <w:rPr>
          <w:spacing w:val="7"/>
        </w:rPr>
        <w:t>应的代理省份、代理时间等。</w:t>
      </w:r>
    </w:p>
    <w:p>
      <w:pPr>
        <w:spacing w:line="296" w:lineRule="auto"/>
        <w:sectPr>
          <w:footerReference w:type="default" r:id="rId4"/>
          <w:pgSz w:w="11910" w:h="16840"/>
          <w:pgMar w:top="1431" w:right="1219" w:bottom="1367" w:left="1740" w:header="0" w:footer="978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right="21" w:firstLine="630"/>
        <w:spacing w:before="97" w:line="318" w:lineRule="auto"/>
        <w:rPr/>
      </w:pPr>
      <w:r>
        <w:rPr>
          <w:rFonts w:ascii="SimSun" w:hAnsi="SimSun" w:eastAsia="SimSun" w:cs="SimSun"/>
          <w:spacing w:val="13"/>
        </w:rPr>
        <w:t>6.</w:t>
      </w:r>
      <w:r>
        <w:rPr>
          <w:rFonts w:ascii="SimSun" w:hAnsi="SimSun" w:eastAsia="SimSun" w:cs="SimSun"/>
          <w:spacing w:val="-56"/>
        </w:rPr>
        <w:t xml:space="preserve"> </w:t>
      </w:r>
      <w:r>
        <w:rPr>
          <w:spacing w:val="13"/>
        </w:rPr>
        <w:t>该药品与代理企业所签合同、协议中，涉及固定或</w:t>
      </w:r>
      <w:r>
        <w:rPr>
          <w:spacing w:val="12"/>
        </w:rPr>
        <w:t>者变更</w:t>
      </w:r>
      <w:r>
        <w:rPr/>
        <w:t xml:space="preserve"> </w:t>
      </w:r>
      <w:r>
        <w:rPr>
          <w:spacing w:val="15"/>
        </w:rPr>
        <w:t>药品价格、限制药品的生产数量或者销售数量、分割销售市场或</w:t>
      </w:r>
      <w:r>
        <w:rPr>
          <w:spacing w:val="16"/>
        </w:rPr>
        <w:t xml:space="preserve"> </w:t>
      </w:r>
      <w:r>
        <w:rPr>
          <w:spacing w:val="11"/>
        </w:rPr>
        <w:t>者原材料采购市场、固定转售价格和限定转售价格的条款。</w:t>
      </w:r>
    </w:p>
    <w:p>
      <w:pPr>
        <w:pStyle w:val="BodyText"/>
        <w:ind w:left="630"/>
        <w:spacing w:before="238" w:line="222" w:lineRule="auto"/>
        <w:rPr/>
      </w:pPr>
      <w:r>
        <w:rPr>
          <w:rFonts w:ascii="SimSun" w:hAnsi="SimSun" w:eastAsia="SimSun" w:cs="SimSun"/>
          <w:spacing w:val="11"/>
        </w:rPr>
        <w:t>7.</w:t>
      </w:r>
      <w:r>
        <w:rPr>
          <w:rFonts w:ascii="SimSun" w:hAnsi="SimSun" w:eastAsia="SimSun" w:cs="SimSun"/>
          <w:spacing w:val="-66"/>
        </w:rPr>
        <w:t xml:space="preserve"> </w:t>
      </w:r>
      <w:r>
        <w:rPr>
          <w:spacing w:val="11"/>
        </w:rPr>
        <w:t>医药集中采购机构要求企业向其披露的其他信息。</w:t>
      </w:r>
    </w:p>
    <w:p>
      <w:pPr>
        <w:pStyle w:val="BodyText"/>
        <w:ind w:right="27" w:firstLine="634"/>
        <w:spacing w:before="217" w:line="363" w:lineRule="auto"/>
        <w:jc w:val="both"/>
        <w:rPr/>
      </w:pPr>
      <w:r>
        <w:rPr>
          <w:rFonts w:ascii="SimHei" w:hAnsi="SimHei" w:eastAsia="SimHei" w:cs="SimHei"/>
          <w:b/>
          <w:bCs/>
          <w:spacing w:val="14"/>
        </w:rPr>
        <w:t>第七条【企业自查</w:t>
      </w:r>
      <w:r>
        <w:rPr>
          <w:b/>
          <w:bCs/>
          <w:spacing w:val="14"/>
        </w:rPr>
        <w:t>】</w:t>
      </w:r>
      <w:r>
        <w:rPr>
          <w:spacing w:val="14"/>
        </w:rPr>
        <w:t xml:space="preserve">  </w:t>
      </w:r>
      <w:r>
        <w:rPr>
          <w:spacing w:val="14"/>
        </w:rPr>
        <w:t>受理以短缺药名义利用直接挂网渠道</w:t>
      </w:r>
      <w:r>
        <w:rPr>
          <w:spacing w:val="9"/>
        </w:rPr>
        <w:t xml:space="preserve"> </w:t>
      </w:r>
      <w:r>
        <w:rPr>
          <w:spacing w:val="16"/>
        </w:rPr>
        <w:t>要求涨价的省份，不对企业自主确定的价格水平进行干预，重点</w:t>
      </w:r>
      <w:r>
        <w:rPr>
          <w:spacing w:val="18"/>
        </w:rPr>
        <w:t xml:space="preserve"> </w:t>
      </w:r>
      <w:r>
        <w:rPr>
          <w:spacing w:val="15"/>
        </w:rPr>
        <w:t>围绕企业披露信息研判潜在的价格风险。存在以下情形的，建议</w:t>
      </w:r>
      <w:r>
        <w:rPr>
          <w:spacing w:val="8"/>
        </w:rPr>
        <w:t xml:space="preserve"> </w:t>
      </w:r>
      <w:r>
        <w:rPr>
          <w:spacing w:val="10"/>
        </w:rPr>
        <w:t>企业自查并排除相应风险后重新申报挂网：</w:t>
      </w:r>
    </w:p>
    <w:p>
      <w:pPr>
        <w:pStyle w:val="BodyText"/>
        <w:ind w:right="17" w:firstLine="630"/>
        <w:spacing w:before="11" w:line="314" w:lineRule="auto"/>
        <w:rPr>
          <w:sz w:val="25"/>
          <w:szCs w:val="25"/>
        </w:rPr>
      </w:pPr>
      <w:r>
        <w:rPr>
          <w:rFonts w:ascii="SimSun" w:hAnsi="SimSun" w:eastAsia="SimSun" w:cs="SimSun"/>
          <w:spacing w:val="37"/>
        </w:rPr>
        <w:t>1.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spacing w:val="37"/>
        </w:rPr>
        <w:t>披露信息不完整、不细致，或者重要事项缺少相应书</w:t>
      </w:r>
      <w:r>
        <w:rPr/>
        <w:t xml:space="preserve"> </w:t>
      </w:r>
      <w:r>
        <w:rPr>
          <w:sz w:val="25"/>
          <w:szCs w:val="25"/>
          <w:spacing w:val="-14"/>
        </w:rPr>
        <w:t>证</w:t>
      </w:r>
      <w:r>
        <w:rPr>
          <w:sz w:val="25"/>
          <w:szCs w:val="25"/>
          <w:spacing w:val="-23"/>
        </w:rPr>
        <w:t xml:space="preserve"> </w:t>
      </w:r>
      <w:r>
        <w:rPr>
          <w:sz w:val="25"/>
          <w:szCs w:val="25"/>
          <w:spacing w:val="-14"/>
        </w:rPr>
        <w:t>等</w:t>
      </w:r>
      <w:r>
        <w:rPr>
          <w:sz w:val="25"/>
          <w:szCs w:val="25"/>
          <w:spacing w:val="-48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pStyle w:val="BodyText"/>
        <w:ind w:right="7" w:firstLine="630"/>
        <w:spacing w:before="243" w:line="300" w:lineRule="auto"/>
        <w:rPr/>
      </w:pPr>
      <w:r>
        <w:rPr>
          <w:rFonts w:ascii="SimSun" w:hAnsi="SimSun" w:eastAsia="SimSun" w:cs="SimSun"/>
          <w:spacing w:val="14"/>
        </w:rPr>
        <w:t>2.</w:t>
      </w:r>
      <w:r>
        <w:rPr>
          <w:rFonts w:ascii="SimSun" w:hAnsi="SimSun" w:eastAsia="SimSun" w:cs="SimSun"/>
          <w:spacing w:val="-65"/>
        </w:rPr>
        <w:t xml:space="preserve"> </w:t>
      </w:r>
      <w:r>
        <w:rPr>
          <w:spacing w:val="14"/>
        </w:rPr>
        <w:t>申报挂网价按照药品说明书最大用量单日</w:t>
      </w:r>
      <w:r>
        <w:rPr>
          <w:spacing w:val="13"/>
        </w:rPr>
        <w:t>治疗费用超过全</w:t>
      </w:r>
      <w:r>
        <w:rPr/>
        <w:t xml:space="preserve"> </w:t>
      </w:r>
      <w:r>
        <w:rPr>
          <w:spacing w:val="16"/>
        </w:rPr>
        <w:t>网活跃区所有同通用名同给药途径同用途产品的2倍。</w:t>
      </w:r>
    </w:p>
    <w:p>
      <w:pPr>
        <w:pStyle w:val="BodyText"/>
        <w:ind w:firstLine="630"/>
        <w:spacing w:before="206" w:line="320" w:lineRule="auto"/>
        <w:rPr/>
      </w:pPr>
      <w:r>
        <w:rPr>
          <w:rFonts w:ascii="SimSun" w:hAnsi="SimSun" w:eastAsia="SimSun" w:cs="SimSun"/>
          <w:spacing w:val="13"/>
        </w:rPr>
        <w:t>3.</w:t>
      </w:r>
      <w:r>
        <w:rPr>
          <w:rFonts w:ascii="SimSun" w:hAnsi="SimSun" w:eastAsia="SimSun" w:cs="SimSun"/>
          <w:spacing w:val="-38"/>
        </w:rPr>
        <w:t xml:space="preserve"> </w:t>
      </w:r>
      <w:r>
        <w:rPr>
          <w:spacing w:val="13"/>
        </w:rPr>
        <w:t>在成本基本稳定的情况下，申报挂网价单次涨价幅度超过</w:t>
      </w:r>
      <w:r>
        <w:rPr/>
        <w:t xml:space="preserve"> </w:t>
      </w:r>
      <w:r>
        <w:rPr>
          <w:spacing w:val="28"/>
        </w:rPr>
        <w:t>2倍或最近两年累计涨幅超过2倍。在成本增长的情况下，申报</w:t>
      </w:r>
      <w:r>
        <w:rPr>
          <w:spacing w:val="2"/>
        </w:rPr>
        <w:t xml:space="preserve"> </w:t>
      </w:r>
      <w:r>
        <w:rPr>
          <w:spacing w:val="10"/>
        </w:rPr>
        <w:t>挂网价单次涨价幅度明显超过成本增长幅度。</w:t>
      </w:r>
    </w:p>
    <w:p>
      <w:pPr>
        <w:pStyle w:val="BodyText"/>
        <w:ind w:right="38" w:firstLine="630"/>
        <w:spacing w:before="222" w:line="293" w:lineRule="auto"/>
        <w:rPr/>
      </w:pPr>
      <w:r>
        <w:rPr>
          <w:rFonts w:ascii="SimSun" w:hAnsi="SimSun" w:eastAsia="SimSun" w:cs="SimSun"/>
          <w:spacing w:val="13"/>
        </w:rPr>
        <w:t>4.</w:t>
      </w:r>
      <w:r>
        <w:rPr>
          <w:rFonts w:ascii="SimSun" w:hAnsi="SimSun" w:eastAsia="SimSun" w:cs="SimSun"/>
          <w:spacing w:val="-70"/>
        </w:rPr>
        <w:t xml:space="preserve"> </w:t>
      </w:r>
      <w:r>
        <w:rPr>
          <w:spacing w:val="13"/>
        </w:rPr>
        <w:t>申报挂网价与原物价部门制定的最高零售</w:t>
      </w:r>
      <w:r>
        <w:rPr>
          <w:spacing w:val="12"/>
        </w:rPr>
        <w:t>限价相比，涨幅</w:t>
      </w:r>
      <w:r>
        <w:rPr/>
        <w:t xml:space="preserve"> </w:t>
      </w:r>
      <w:r>
        <w:rPr>
          <w:spacing w:val="29"/>
        </w:rPr>
        <w:t>超过3倍。</w:t>
      </w:r>
    </w:p>
    <w:p>
      <w:pPr>
        <w:pStyle w:val="BodyText"/>
        <w:ind w:right="10" w:firstLine="630"/>
        <w:spacing w:before="233" w:line="336" w:lineRule="auto"/>
        <w:rPr/>
      </w:pPr>
      <w:r>
        <w:rPr>
          <w:rFonts w:ascii="SimSun" w:hAnsi="SimSun" w:eastAsia="SimSun" w:cs="SimSun"/>
          <w:spacing w:val="18"/>
        </w:rPr>
        <w:t>5.</w:t>
      </w:r>
      <w:r>
        <w:rPr>
          <w:rFonts w:ascii="SimSun" w:hAnsi="SimSun" w:eastAsia="SimSun" w:cs="SimSun"/>
          <w:spacing w:val="-41"/>
        </w:rPr>
        <w:t xml:space="preserve"> </w:t>
      </w:r>
      <w:r>
        <w:rPr>
          <w:spacing w:val="18"/>
        </w:rPr>
        <w:t>挂网价中单项构成要素变动明显异常的，例如原料药(或</w:t>
      </w:r>
      <w:r>
        <w:rPr/>
        <w:t xml:space="preserve"> </w:t>
      </w:r>
      <w:r>
        <w:rPr>
          <w:spacing w:val="28"/>
        </w:rPr>
        <w:t>其他昂贵辅料)采购价超过行业公开报价平均值2倍；销售费用</w:t>
      </w:r>
      <w:r>
        <w:rPr/>
        <w:t xml:space="preserve"> </w:t>
      </w:r>
      <w:r>
        <w:rPr>
          <w:spacing w:val="26"/>
        </w:rPr>
        <w:t>率或“拟合销售费用率”超过50%(拟合销售费用率是指，药品</w:t>
      </w:r>
      <w:r>
        <w:rPr>
          <w:spacing w:val="4"/>
        </w:rPr>
        <w:t xml:space="preserve"> </w:t>
      </w:r>
      <w:r>
        <w:rPr>
          <w:spacing w:val="19"/>
        </w:rPr>
        <w:t>出厂价格构成中的销售费用与药品流通环节差价率超过10%的部</w:t>
      </w:r>
      <w:r>
        <w:rPr>
          <w:spacing w:val="14"/>
        </w:rPr>
        <w:t xml:space="preserve"> </w:t>
      </w:r>
      <w:r>
        <w:rPr>
          <w:spacing w:val="28"/>
        </w:rPr>
        <w:t>分合并后，占药品挂网价格的比例);含税出厂价与</w:t>
      </w:r>
      <w:r>
        <w:rPr>
          <w:spacing w:val="27"/>
        </w:rPr>
        <w:t>挂网价之间</w:t>
      </w:r>
    </w:p>
    <w:p>
      <w:pPr>
        <w:spacing w:line="336" w:lineRule="auto"/>
        <w:sectPr>
          <w:footerReference w:type="default" r:id="rId5"/>
          <w:pgSz w:w="11910" w:h="16840"/>
          <w:pgMar w:top="1431" w:right="1645" w:bottom="1377" w:left="1370" w:header="0" w:footer="988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44" w:right="38"/>
        <w:spacing w:before="94" w:line="380" w:lineRule="auto"/>
        <w:rPr>
          <w:sz w:val="29"/>
          <w:szCs w:val="29"/>
        </w:rPr>
      </w:pPr>
      <w:r>
        <w:rPr>
          <w:sz w:val="29"/>
          <w:szCs w:val="29"/>
          <w:spacing w:val="33"/>
        </w:rPr>
        <w:t>的流通环节差价率超过40%(同时存在多种含税出厂价的，从低</w:t>
      </w:r>
      <w:r>
        <w:rPr>
          <w:sz w:val="29"/>
          <w:szCs w:val="29"/>
          <w:spacing w:val="15"/>
        </w:rPr>
        <w:t xml:space="preserve"> </w:t>
      </w:r>
      <w:r>
        <w:rPr>
          <w:sz w:val="29"/>
          <w:szCs w:val="29"/>
          <w:spacing w:val="27"/>
        </w:rPr>
        <w:t>取值计算流通环节差价率)等。</w:t>
      </w:r>
    </w:p>
    <w:p>
      <w:pPr>
        <w:pStyle w:val="BodyText"/>
        <w:ind w:right="22" w:firstLine="764"/>
        <w:spacing w:line="375" w:lineRule="auto"/>
        <w:jc w:val="both"/>
        <w:rPr>
          <w:sz w:val="29"/>
          <w:szCs w:val="29"/>
        </w:rPr>
      </w:pPr>
      <w:r>
        <w:rPr>
          <w:sz w:val="29"/>
          <w:szCs w:val="29"/>
          <w:spacing w:val="31"/>
        </w:rPr>
        <w:t>按照药品说明书最大用量单日治疗费用低于1元的药品</w:t>
      </w:r>
      <w:r>
        <w:rPr>
          <w:sz w:val="29"/>
          <w:szCs w:val="29"/>
          <w:spacing w:val="30"/>
        </w:rPr>
        <w:t>、儿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35"/>
        </w:rPr>
        <w:t>童专用药品(药品名称明示为“小儿”用药的，或者</w:t>
      </w:r>
      <w:r>
        <w:rPr>
          <w:sz w:val="29"/>
          <w:szCs w:val="29"/>
          <w:spacing w:val="34"/>
        </w:rPr>
        <w:t>药品说明书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23"/>
        </w:rPr>
        <w:t>“适应症”</w:t>
      </w:r>
      <w:r>
        <w:rPr>
          <w:sz w:val="29"/>
          <w:szCs w:val="29"/>
          <w:spacing w:val="-95"/>
        </w:rPr>
        <w:t xml:space="preserve"> </w:t>
      </w:r>
      <w:r>
        <w:rPr>
          <w:sz w:val="29"/>
          <w:szCs w:val="29"/>
          <w:spacing w:val="23"/>
        </w:rPr>
        <w:t>一项仅限儿童的，下同)不作风险自</w:t>
      </w:r>
      <w:r>
        <w:rPr>
          <w:sz w:val="29"/>
          <w:szCs w:val="29"/>
          <w:spacing w:val="22"/>
        </w:rPr>
        <w:t>查的要求。</w:t>
      </w:r>
    </w:p>
    <w:p>
      <w:pPr>
        <w:pStyle w:val="BodyText"/>
        <w:ind w:left="144" w:right="14" w:firstLine="624"/>
        <w:spacing w:line="372" w:lineRule="auto"/>
        <w:jc w:val="both"/>
        <w:rPr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6"/>
        </w:rPr>
        <w:t>第八条【企业自纠</w:t>
      </w:r>
      <w:r>
        <w:rPr>
          <w:sz w:val="29"/>
          <w:szCs w:val="29"/>
          <w:b/>
          <w:bCs/>
          <w:spacing w:val="26"/>
        </w:rPr>
        <w:t>】</w:t>
      </w:r>
      <w:r>
        <w:rPr>
          <w:sz w:val="29"/>
          <w:szCs w:val="29"/>
          <w:spacing w:val="65"/>
        </w:rPr>
        <w:t xml:space="preserve">  </w:t>
      </w:r>
      <w:r>
        <w:rPr>
          <w:sz w:val="29"/>
          <w:szCs w:val="29"/>
          <w:spacing w:val="26"/>
        </w:rPr>
        <w:t>涉及第1项情形的，企业排除风险的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38"/>
        </w:rPr>
        <w:t>具体方式是补齐资料；涉及第2-</w:t>
      </w:r>
      <w:r>
        <w:rPr>
          <w:sz w:val="29"/>
          <w:szCs w:val="29"/>
          <w:spacing w:val="-87"/>
        </w:rPr>
        <w:t xml:space="preserve"> </w:t>
      </w:r>
      <w:r>
        <w:rPr>
          <w:sz w:val="29"/>
          <w:szCs w:val="29"/>
          <w:spacing w:val="38"/>
        </w:rPr>
        <w:t>5项情形的，企业排除风险的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具体方式包括但不限于：</w:t>
      </w:r>
    </w:p>
    <w:p>
      <w:pPr>
        <w:pStyle w:val="BodyText"/>
        <w:ind w:left="144" w:right="1" w:firstLine="619"/>
        <w:spacing w:before="4" w:line="356" w:lineRule="auto"/>
        <w:jc w:val="both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1.</w:t>
      </w:r>
      <w:r>
        <w:rPr>
          <w:rFonts w:ascii="SimSun" w:hAnsi="SimSun" w:eastAsia="SimSun" w:cs="SimSun"/>
          <w:sz w:val="31"/>
          <w:szCs w:val="31"/>
          <w:spacing w:val="-49"/>
        </w:rPr>
        <w:t xml:space="preserve"> </w:t>
      </w:r>
      <w:r>
        <w:rPr>
          <w:sz w:val="31"/>
          <w:szCs w:val="31"/>
          <w:spacing w:val="2"/>
        </w:rPr>
        <w:t>补充提供会计师事务所出具的审计报告。审计报告耗时较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长的，企业正式委托会计师事务所后，可采取先书面承诺、后补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-2"/>
        </w:rPr>
        <w:t>交报告的方式进行风险隔离。</w:t>
      </w:r>
    </w:p>
    <w:p>
      <w:pPr>
        <w:pStyle w:val="BodyText"/>
        <w:ind w:left="144" w:right="36" w:firstLine="619"/>
        <w:spacing w:before="1" w:line="37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9"/>
        </w:rPr>
        <w:t>2.</w:t>
      </w:r>
      <w:r>
        <w:rPr>
          <w:rFonts w:ascii="SimSun" w:hAnsi="SimSun" w:eastAsia="SimSun" w:cs="SimSun"/>
          <w:sz w:val="29"/>
          <w:szCs w:val="29"/>
          <w:spacing w:val="-13"/>
        </w:rPr>
        <w:t xml:space="preserve"> </w:t>
      </w:r>
      <w:r>
        <w:rPr>
          <w:sz w:val="29"/>
          <w:szCs w:val="29"/>
          <w:spacing w:val="19"/>
        </w:rPr>
        <w:t>原料药等上游涉及垄断导致成本失控的，企业已向监管部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5"/>
        </w:rPr>
        <w:t>门报案。</w:t>
      </w:r>
    </w:p>
    <w:p>
      <w:pPr>
        <w:pStyle w:val="BodyText"/>
        <w:ind w:left="764"/>
        <w:spacing w:before="1" w:line="222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3.</w:t>
      </w:r>
      <w:r>
        <w:rPr>
          <w:rFonts w:ascii="SimSun" w:hAnsi="SimSun" w:eastAsia="SimSun" w:cs="SimSun"/>
          <w:sz w:val="31"/>
          <w:szCs w:val="31"/>
          <w:spacing w:val="-55"/>
        </w:rPr>
        <w:t xml:space="preserve"> </w:t>
      </w:r>
      <w:r>
        <w:rPr>
          <w:sz w:val="31"/>
          <w:szCs w:val="31"/>
          <w:spacing w:val="1"/>
        </w:rPr>
        <w:t>支持企业通过重新优化报价的方式降低价格风险。</w:t>
      </w:r>
    </w:p>
    <w:p>
      <w:pPr>
        <w:pStyle w:val="BodyText"/>
        <w:ind w:left="144" w:right="14" w:firstLine="624"/>
        <w:spacing w:before="256" w:line="374" w:lineRule="auto"/>
        <w:rPr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1"/>
        </w:rPr>
        <w:t>第九条【直通型挂网</w:t>
      </w:r>
      <w:r>
        <w:rPr>
          <w:sz w:val="29"/>
          <w:szCs w:val="29"/>
          <w:b/>
          <w:bCs/>
          <w:spacing w:val="21"/>
        </w:rPr>
        <w:t>】</w:t>
      </w:r>
      <w:r>
        <w:rPr>
          <w:sz w:val="29"/>
          <w:szCs w:val="29"/>
          <w:spacing w:val="53"/>
        </w:rPr>
        <w:t xml:space="preserve">  </w:t>
      </w:r>
      <w:r>
        <w:rPr>
          <w:sz w:val="29"/>
          <w:szCs w:val="29"/>
          <w:spacing w:val="21"/>
        </w:rPr>
        <w:t>国家“两个清单”药品或国家联动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spacing w:val="25"/>
        </w:rPr>
        <w:t>机制牵头部门要求应急处理的短缺药品，企业信息披露符合要求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spacing w:val="25"/>
        </w:rPr>
        <w:t>且符合以下情形之一时，首涨省医药集中采购机构可以接</w:t>
      </w:r>
      <w:r>
        <w:rPr>
          <w:sz w:val="29"/>
          <w:szCs w:val="29"/>
          <w:spacing w:val="24"/>
        </w:rPr>
        <w:t>受企业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8"/>
        </w:rPr>
        <w:t>申报挂网价，采取“直通型挂网”的方式直接挂网：</w:t>
      </w:r>
    </w:p>
    <w:p>
      <w:pPr>
        <w:pStyle w:val="BodyText"/>
        <w:ind w:left="764"/>
        <w:spacing w:before="1" w:line="22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8"/>
        </w:rPr>
        <w:t>1.</w:t>
      </w:r>
      <w:r>
        <w:rPr>
          <w:rFonts w:ascii="SimSun" w:hAnsi="SimSun" w:eastAsia="SimSun" w:cs="SimSun"/>
          <w:sz w:val="29"/>
          <w:szCs w:val="29"/>
          <w:spacing w:val="-11"/>
        </w:rPr>
        <w:t xml:space="preserve"> </w:t>
      </w:r>
      <w:r>
        <w:rPr>
          <w:sz w:val="29"/>
          <w:szCs w:val="29"/>
          <w:spacing w:val="18"/>
        </w:rPr>
        <w:t>成本因素变动的贡献率与申报挂网价涨幅基本吻合。</w:t>
      </w:r>
    </w:p>
    <w:p>
      <w:pPr>
        <w:pStyle w:val="BodyText"/>
        <w:ind w:left="144" w:firstLine="619"/>
        <w:spacing w:before="227" w:line="329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9"/>
        </w:rPr>
        <w:t>2. </w:t>
      </w:r>
      <w:r>
        <w:rPr>
          <w:sz w:val="29"/>
          <w:szCs w:val="29"/>
          <w:spacing w:val="19"/>
        </w:rPr>
        <w:t>申报挂网价按照药品说明书最大用量单日治疗费用在全网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25"/>
        </w:rPr>
        <w:t>活跃区同通用名同给药途径的同用途产品中，位于由低到高排序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38"/>
        </w:rPr>
        <w:t>的前60%。</w:t>
      </w:r>
    </w:p>
    <w:p>
      <w:pPr>
        <w:spacing w:line="329" w:lineRule="auto"/>
        <w:sectPr>
          <w:footerReference w:type="default" r:id="rId6"/>
          <w:pgSz w:w="11910" w:h="16840"/>
          <w:pgMar w:top="1431" w:right="1317" w:bottom="1376" w:left="1605" w:header="0" w:footer="974" w:gutter="0"/>
        </w:sectPr>
        <w:rPr>
          <w:sz w:val="29"/>
          <w:szCs w:val="29"/>
        </w:rPr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145" w:right="45" w:firstLine="640"/>
        <w:spacing w:before="94" w:line="303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37"/>
        </w:rPr>
        <w:t>3.</w:t>
      </w:r>
      <w:r>
        <w:rPr>
          <w:rFonts w:ascii="SimSun" w:hAnsi="SimSun" w:eastAsia="SimSun" w:cs="SimSun"/>
          <w:sz w:val="29"/>
          <w:szCs w:val="29"/>
          <w:spacing w:val="-16"/>
        </w:rPr>
        <w:t xml:space="preserve"> </w:t>
      </w:r>
      <w:r>
        <w:rPr>
          <w:sz w:val="29"/>
          <w:szCs w:val="29"/>
          <w:spacing w:val="37"/>
        </w:rPr>
        <w:t>申报挂网价单次涨价幅度未超过50%或两年内累计涨幅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6"/>
        </w:rPr>
        <w:t>未超过50%,儿童专用药品放宽至100</w:t>
      </w:r>
      <w:r>
        <w:rPr>
          <w:sz w:val="29"/>
          <w:szCs w:val="29"/>
          <w:spacing w:val="45"/>
        </w:rPr>
        <w:t>%。</w:t>
      </w:r>
    </w:p>
    <w:p>
      <w:pPr>
        <w:pStyle w:val="BodyText"/>
        <w:ind w:left="145" w:right="65" w:firstLine="640"/>
        <w:spacing w:before="259" w:line="293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2"/>
        </w:rPr>
        <w:t>4.</w:t>
      </w:r>
      <w:r>
        <w:rPr>
          <w:rFonts w:ascii="SimSun" w:hAnsi="SimSun" w:eastAsia="SimSun" w:cs="SimSun"/>
          <w:sz w:val="29"/>
          <w:szCs w:val="29"/>
          <w:spacing w:val="-65"/>
        </w:rPr>
        <w:t xml:space="preserve"> </w:t>
      </w:r>
      <w:r>
        <w:rPr>
          <w:sz w:val="29"/>
          <w:szCs w:val="29"/>
          <w:spacing w:val="22"/>
        </w:rPr>
        <w:t>申报挂网价与原物价部门制定的最高零售限价相比，涨幅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39"/>
        </w:rPr>
        <w:t>未超过50%。儿童专用药品放宽至100%。</w:t>
      </w:r>
    </w:p>
    <w:p>
      <w:pPr>
        <w:pStyle w:val="BodyText"/>
        <w:ind w:left="145" w:right="42" w:firstLine="640"/>
        <w:spacing w:before="261" w:line="29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38"/>
        </w:rPr>
        <w:t>5.</w:t>
      </w:r>
      <w:r>
        <w:rPr>
          <w:rFonts w:ascii="SimSun" w:hAnsi="SimSun" w:eastAsia="SimSun" w:cs="SimSun"/>
          <w:sz w:val="29"/>
          <w:szCs w:val="29"/>
          <w:spacing w:val="-40"/>
        </w:rPr>
        <w:t xml:space="preserve"> </w:t>
      </w:r>
      <w:r>
        <w:rPr>
          <w:sz w:val="29"/>
          <w:szCs w:val="29"/>
          <w:spacing w:val="38"/>
        </w:rPr>
        <w:t>申报挂网价未高于参比制剂价格的60%。儿童专用药品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2"/>
        </w:rPr>
        <w:t>放宽至80%。</w:t>
      </w:r>
    </w:p>
    <w:p>
      <w:pPr>
        <w:pStyle w:val="BodyText"/>
        <w:ind w:right="25" w:firstLine="785"/>
        <w:spacing w:before="255" w:line="32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35"/>
        </w:rPr>
        <w:t>6.</w:t>
      </w:r>
      <w:r>
        <w:rPr>
          <w:rFonts w:ascii="SimSun" w:hAnsi="SimSun" w:eastAsia="SimSun" w:cs="SimSun"/>
          <w:sz w:val="29"/>
          <w:szCs w:val="29"/>
          <w:spacing w:val="-3"/>
        </w:rPr>
        <w:t xml:space="preserve"> </w:t>
      </w:r>
      <w:r>
        <w:rPr>
          <w:sz w:val="29"/>
          <w:szCs w:val="29"/>
          <w:spacing w:val="35"/>
        </w:rPr>
        <w:t>申报挂网价存在第七条所列的第2-</w:t>
      </w:r>
      <w:r>
        <w:rPr>
          <w:sz w:val="29"/>
          <w:szCs w:val="29"/>
          <w:spacing w:val="-84"/>
        </w:rPr>
        <w:t xml:space="preserve"> </w:t>
      </w:r>
      <w:r>
        <w:rPr>
          <w:sz w:val="29"/>
          <w:szCs w:val="29"/>
          <w:spacing w:val="35"/>
        </w:rPr>
        <w:t>5项风险，会计师事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3"/>
        </w:rPr>
        <w:t>务所出具的审计报告涉及申报挂网价、相应风险事项明确结论</w:t>
      </w:r>
      <w:r>
        <w:rPr>
          <w:sz w:val="29"/>
          <w:szCs w:val="29"/>
          <w:spacing w:val="5"/>
        </w:rPr>
        <w:t xml:space="preserve"> </w:t>
      </w:r>
      <w:r>
        <w:rPr>
          <w:sz w:val="29"/>
          <w:szCs w:val="29"/>
          <w:spacing w:val="-1"/>
        </w:rPr>
        <w:t>“无保留意见”。</w:t>
      </w:r>
    </w:p>
    <w:p>
      <w:pPr>
        <w:pStyle w:val="BodyText"/>
        <w:ind w:left="145" w:firstLine="640"/>
        <w:spacing w:before="262" w:line="298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8"/>
        </w:rPr>
        <w:t>7.</w:t>
      </w:r>
      <w:r>
        <w:rPr>
          <w:rFonts w:ascii="SimSun" w:hAnsi="SimSun" w:eastAsia="SimSun" w:cs="SimSun"/>
          <w:sz w:val="29"/>
          <w:szCs w:val="29"/>
          <w:spacing w:val="-17"/>
        </w:rPr>
        <w:t xml:space="preserve"> </w:t>
      </w:r>
      <w:r>
        <w:rPr>
          <w:sz w:val="29"/>
          <w:szCs w:val="29"/>
          <w:spacing w:val="28"/>
        </w:rPr>
        <w:t>申报挂网价按照药品说明书最大用量单日治疗费用低于1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1"/>
        </w:rPr>
        <w:t>元的药品。</w:t>
      </w:r>
    </w:p>
    <w:p>
      <w:pPr>
        <w:pStyle w:val="BodyText"/>
        <w:ind w:right="41" w:firstLine="789"/>
        <w:spacing w:before="255" w:line="376" w:lineRule="auto"/>
        <w:jc w:val="both"/>
        <w:rPr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2"/>
        </w:rPr>
        <w:t>第十条【递补型挂网</w:t>
      </w:r>
      <w:r>
        <w:rPr>
          <w:sz w:val="29"/>
          <w:szCs w:val="29"/>
          <w:b/>
          <w:bCs/>
          <w:spacing w:val="22"/>
        </w:rPr>
        <w:t>】</w:t>
      </w:r>
      <w:r>
        <w:rPr>
          <w:sz w:val="29"/>
          <w:szCs w:val="29"/>
          <w:spacing w:val="52"/>
        </w:rPr>
        <w:t xml:space="preserve">  </w:t>
      </w:r>
      <w:r>
        <w:rPr>
          <w:sz w:val="29"/>
          <w:szCs w:val="29"/>
          <w:spacing w:val="22"/>
        </w:rPr>
        <w:t>省级“两个清单”增补的短缺易短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spacing w:val="32"/>
        </w:rPr>
        <w:t>缺药品，以及其他不适用“直通型挂网”的短缺易短缺药品，当</w:t>
      </w:r>
      <w:r>
        <w:rPr>
          <w:sz w:val="29"/>
          <w:szCs w:val="29"/>
          <w:spacing w:val="6"/>
        </w:rPr>
        <w:t xml:space="preserve"> </w:t>
      </w:r>
      <w:r>
        <w:rPr>
          <w:sz w:val="29"/>
          <w:szCs w:val="29"/>
          <w:spacing w:val="43"/>
        </w:rPr>
        <w:t>国内有同用途产品时，首涨省可以接受企业申报挂网价，采取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9"/>
        </w:rPr>
        <w:t>“递补型挂网”的方式直接挂网：</w:t>
      </w:r>
    </w:p>
    <w:p>
      <w:pPr>
        <w:pStyle w:val="BodyText"/>
        <w:ind w:left="785"/>
        <w:spacing w:before="6" w:line="221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8"/>
        </w:rPr>
        <w:t>1.</w:t>
      </w:r>
      <w:r>
        <w:rPr>
          <w:rFonts w:ascii="SimSun" w:hAnsi="SimSun" w:eastAsia="SimSun" w:cs="SimSun"/>
          <w:sz w:val="29"/>
          <w:szCs w:val="29"/>
          <w:spacing w:val="-17"/>
        </w:rPr>
        <w:t xml:space="preserve"> </w:t>
      </w:r>
      <w:r>
        <w:rPr>
          <w:sz w:val="29"/>
          <w:szCs w:val="29"/>
          <w:spacing w:val="18"/>
        </w:rPr>
        <w:t>企业信息披露符合本指引第六条的各项要求。</w:t>
      </w:r>
    </w:p>
    <w:p>
      <w:pPr>
        <w:pStyle w:val="BodyText"/>
        <w:ind w:left="145" w:right="47" w:firstLine="640"/>
        <w:spacing w:before="243" w:line="345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9"/>
        </w:rPr>
        <w:t>2. </w:t>
      </w:r>
      <w:r>
        <w:rPr>
          <w:sz w:val="29"/>
          <w:szCs w:val="29"/>
          <w:spacing w:val="19"/>
        </w:rPr>
        <w:t>申报挂网价按照药品说明书最大用量单日治疗费用与全网</w:t>
      </w:r>
      <w:r>
        <w:rPr>
          <w:sz w:val="29"/>
          <w:szCs w:val="29"/>
          <w:spacing w:val="15"/>
        </w:rPr>
        <w:t xml:space="preserve"> </w:t>
      </w:r>
      <w:r>
        <w:rPr>
          <w:sz w:val="29"/>
          <w:szCs w:val="29"/>
          <w:spacing w:val="26"/>
        </w:rPr>
        <w:t>活跃区同通用名同给药途径的同用途产品最高值相比，涨幅小于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29"/>
        </w:rPr>
        <w:t>等于1.8倍的，直接挂网的同时将产品名称、价格等挂网信息的</w:t>
      </w:r>
      <w:r>
        <w:rPr>
          <w:sz w:val="29"/>
          <w:szCs w:val="29"/>
          <w:spacing w:val="11"/>
        </w:rPr>
        <w:t xml:space="preserve"> </w:t>
      </w:r>
      <w:r>
        <w:rPr>
          <w:sz w:val="29"/>
          <w:szCs w:val="29"/>
          <w:spacing w:val="25"/>
        </w:rPr>
        <w:t>字体或背景标记为黄色，公立医疗机构下订单时弹窗提示本平台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21"/>
        </w:rPr>
        <w:t>同用途产品信息，建议优先采购无特殊标记的同用途产</w:t>
      </w:r>
      <w:r>
        <w:rPr>
          <w:sz w:val="29"/>
          <w:szCs w:val="29"/>
          <w:spacing w:val="20"/>
        </w:rPr>
        <w:t>品。</w:t>
      </w:r>
    </w:p>
    <w:p>
      <w:pPr>
        <w:pStyle w:val="BodyText"/>
        <w:ind w:right="47"/>
        <w:spacing w:before="270" w:line="221" w:lineRule="auto"/>
        <w:jc w:val="right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9"/>
        </w:rPr>
        <w:t>3. </w:t>
      </w:r>
      <w:r>
        <w:rPr>
          <w:sz w:val="29"/>
          <w:szCs w:val="29"/>
          <w:spacing w:val="19"/>
        </w:rPr>
        <w:t>申报挂网价按照药品说明书最大用量单日治疗费用与全网</w:t>
      </w:r>
    </w:p>
    <w:p>
      <w:pPr>
        <w:spacing w:line="221" w:lineRule="auto"/>
        <w:sectPr>
          <w:footerReference w:type="default" r:id="rId7"/>
          <w:pgSz w:w="11910" w:h="16840"/>
          <w:pgMar w:top="1431" w:right="1629" w:bottom="1389" w:left="1215" w:header="0" w:footer="1012" w:gutter="0"/>
        </w:sectPr>
        <w:rPr>
          <w:sz w:val="29"/>
          <w:szCs w:val="29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right="125"/>
        <w:spacing w:before="97" w:line="361" w:lineRule="auto"/>
        <w:jc w:val="both"/>
        <w:rPr/>
      </w:pPr>
      <w:r>
        <w:rPr>
          <w:spacing w:val="15"/>
        </w:rPr>
        <w:t>活跃区同通用名同给药途径的同用途产品最高值相比，涨幅大于</w:t>
      </w:r>
      <w:r>
        <w:rPr>
          <w:spacing w:val="3"/>
        </w:rPr>
        <w:t xml:space="preserve"> </w:t>
      </w:r>
      <w:r>
        <w:rPr>
          <w:spacing w:val="19"/>
        </w:rPr>
        <w:t>1.8倍的，直接挂网的同时将产品名称、价格等挂网信息的字体</w:t>
      </w:r>
      <w:r>
        <w:rPr>
          <w:spacing w:val="17"/>
        </w:rPr>
        <w:t xml:space="preserve"> </w:t>
      </w:r>
      <w:r>
        <w:rPr>
          <w:spacing w:val="15"/>
        </w:rPr>
        <w:t>或背景标记为红色，公立医疗机构下订单时弹窗警告，提示</w:t>
      </w:r>
      <w:r>
        <w:rPr>
          <w:spacing w:val="14"/>
        </w:rPr>
        <w:t>本平</w:t>
      </w:r>
      <w:r>
        <w:rPr/>
        <w:t xml:space="preserve"> </w:t>
      </w:r>
      <w:r>
        <w:rPr>
          <w:spacing w:val="9"/>
        </w:rPr>
        <w:t>台同用途产品，要求优先采购非红标的同用途产品。</w:t>
      </w:r>
    </w:p>
    <w:p>
      <w:pPr>
        <w:pStyle w:val="BodyText"/>
        <w:ind w:right="125" w:firstLine="619"/>
        <w:spacing w:line="369" w:lineRule="auto"/>
        <w:jc w:val="both"/>
        <w:rPr/>
      </w:pPr>
      <w:r>
        <w:rPr>
          <w:rFonts w:ascii="SimSun" w:hAnsi="SimSun" w:eastAsia="SimSun" w:cs="SimSun"/>
          <w:spacing w:val="12"/>
        </w:rPr>
        <w:t>4.</w:t>
      </w:r>
      <w:r>
        <w:rPr>
          <w:rFonts w:ascii="SimSun" w:hAnsi="SimSun" w:eastAsia="SimSun" w:cs="SimSun"/>
          <w:spacing w:val="-70"/>
        </w:rPr>
        <w:t xml:space="preserve"> </w:t>
      </w:r>
      <w:r>
        <w:rPr>
          <w:spacing w:val="12"/>
        </w:rPr>
        <w:t>公立医疗机构未优先采购低风险药品，可能影</w:t>
      </w:r>
      <w:r>
        <w:rPr>
          <w:spacing w:val="11"/>
        </w:rPr>
        <w:t>响医保基金</w:t>
      </w:r>
      <w:r>
        <w:rPr/>
        <w:t xml:space="preserve"> </w:t>
      </w:r>
      <w:r>
        <w:rPr>
          <w:spacing w:val="15"/>
        </w:rPr>
        <w:t>安全的，视情节提高其飞行检查的抽选权重或建议直接列入下一</w:t>
      </w:r>
      <w:r>
        <w:rPr>
          <w:spacing w:val="3"/>
        </w:rPr>
        <w:t xml:space="preserve"> </w:t>
      </w:r>
      <w:r>
        <w:rPr>
          <w:spacing w:val="6"/>
        </w:rPr>
        <w:t>年度医保基金飞行检查名单。</w:t>
      </w:r>
    </w:p>
    <w:p>
      <w:pPr>
        <w:pStyle w:val="BodyText"/>
        <w:ind w:right="20" w:firstLine="624"/>
        <w:spacing w:before="1" w:line="363" w:lineRule="auto"/>
        <w:jc w:val="both"/>
        <w:rPr/>
      </w:pPr>
      <w:r>
        <w:rPr>
          <w:rFonts w:ascii="SimHei" w:hAnsi="SimHei" w:eastAsia="SimHei" w:cs="SimHei"/>
          <w:b/>
          <w:bCs/>
          <w:spacing w:val="10"/>
        </w:rPr>
        <w:t>第十一条【附条件挂网</w:t>
      </w:r>
      <w:r>
        <w:rPr>
          <w:b/>
          <w:bCs/>
          <w:spacing w:val="10"/>
        </w:rPr>
        <w:t>】</w:t>
      </w:r>
      <w:r>
        <w:rPr>
          <w:spacing w:val="43"/>
        </w:rPr>
        <w:t xml:space="preserve">  </w:t>
      </w:r>
      <w:r>
        <w:rPr>
          <w:spacing w:val="10"/>
        </w:rPr>
        <w:t>省级“两个清单”增补的短缺易</w:t>
      </w:r>
      <w:r>
        <w:rPr/>
        <w:t xml:space="preserve">  </w:t>
      </w:r>
      <w:r>
        <w:rPr>
          <w:spacing w:val="19"/>
        </w:rPr>
        <w:t>短缺药品，以及其他不适用“直通型挂网”的短缺易短缺</w:t>
      </w:r>
      <w:r>
        <w:rPr>
          <w:spacing w:val="18"/>
        </w:rPr>
        <w:t>药品，</w:t>
      </w:r>
      <w:r>
        <w:rPr/>
        <w:t xml:space="preserve"> </w:t>
      </w:r>
      <w:r>
        <w:rPr>
          <w:spacing w:val="13"/>
        </w:rPr>
        <w:t>当国内尚无同用途产品时，首涨省可以采取“附条件挂网”的方</w:t>
      </w:r>
      <w:r>
        <w:rPr>
          <w:spacing w:val="7"/>
        </w:rPr>
        <w:t xml:space="preserve">  </w:t>
      </w:r>
      <w:r>
        <w:rPr>
          <w:spacing w:val="15"/>
        </w:rPr>
        <w:t>式，在附加相应条件的前提下接受企业申报挂网价直接挂网。附</w:t>
      </w:r>
      <w:r>
        <w:rPr>
          <w:spacing w:val="2"/>
        </w:rPr>
        <w:t xml:space="preserve"> </w:t>
      </w:r>
      <w:r>
        <w:rPr>
          <w:spacing w:val="6"/>
        </w:rPr>
        <w:t>加条件的内容包括但不限于：</w:t>
      </w:r>
    </w:p>
    <w:p>
      <w:pPr>
        <w:pStyle w:val="BodyText"/>
        <w:ind w:left="619"/>
        <w:spacing w:before="1" w:line="220" w:lineRule="auto"/>
        <w:rPr/>
      </w:pPr>
      <w:r>
        <w:rPr>
          <w:rFonts w:ascii="SimSun" w:hAnsi="SimSun" w:eastAsia="SimSun" w:cs="SimSun"/>
          <w:spacing w:val="9"/>
        </w:rPr>
        <w:t>1.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9"/>
        </w:rPr>
        <w:t>企业信息披露符合本指引第六条的各项要求。</w:t>
      </w:r>
    </w:p>
    <w:p>
      <w:pPr>
        <w:pStyle w:val="BodyText"/>
        <w:ind w:right="110" w:firstLine="619"/>
        <w:spacing w:before="220" w:line="321" w:lineRule="auto"/>
        <w:rPr/>
      </w:pPr>
      <w:r>
        <w:rPr>
          <w:rFonts w:ascii="SimSun" w:hAnsi="SimSun" w:eastAsia="SimSun" w:cs="SimSun"/>
          <w:spacing w:val="30"/>
        </w:rPr>
        <w:t>2.</w:t>
      </w:r>
      <w:r>
        <w:rPr>
          <w:rFonts w:ascii="SimSun" w:hAnsi="SimSun" w:eastAsia="SimSun" w:cs="SimSun"/>
          <w:spacing w:val="-62"/>
        </w:rPr>
        <w:t xml:space="preserve"> </w:t>
      </w:r>
      <w:r>
        <w:rPr>
          <w:spacing w:val="30"/>
        </w:rPr>
        <w:t>企业承诺保持价格和供应稳定，附条件挂网之日起3年</w:t>
      </w:r>
      <w:r>
        <w:rPr/>
        <w:t xml:space="preserve"> </w:t>
      </w:r>
      <w:r>
        <w:rPr>
          <w:spacing w:val="35"/>
        </w:rPr>
        <w:t>内，公立医疗机构订单响应率不低于60%,除企业不可抗因素</w:t>
      </w:r>
      <w:r>
        <w:rPr>
          <w:spacing w:val="10"/>
        </w:rPr>
        <w:t xml:space="preserve"> </w:t>
      </w:r>
      <w:r>
        <w:rPr>
          <w:spacing w:val="7"/>
        </w:rPr>
        <w:t>外，不以任何理由进一步上调挂网价。</w:t>
      </w:r>
    </w:p>
    <w:p>
      <w:pPr>
        <w:pStyle w:val="BodyText"/>
        <w:ind w:firstLine="619"/>
        <w:spacing w:before="205" w:line="324" w:lineRule="auto"/>
        <w:rPr/>
      </w:pPr>
      <w:r>
        <w:rPr>
          <w:rFonts w:ascii="SimSun" w:hAnsi="SimSun" w:eastAsia="SimSun" w:cs="SimSun"/>
          <w:spacing w:val="16"/>
        </w:rPr>
        <w:t>3.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spacing w:val="16"/>
        </w:rPr>
        <w:t>企业承诺上调挂网价不存在垄断、价格串通等违法情节，</w:t>
      </w:r>
      <w:r>
        <w:rPr/>
        <w:t xml:space="preserve"> </w:t>
      </w:r>
      <w:r>
        <w:rPr>
          <w:spacing w:val="14"/>
        </w:rPr>
        <w:t>不发生不公平高价、拒绝交易、限定交易等根据药品领域反垄断</w:t>
      </w:r>
      <w:r>
        <w:rPr>
          <w:spacing w:val="5"/>
        </w:rPr>
        <w:t xml:space="preserve">  </w:t>
      </w:r>
      <w:r>
        <w:rPr>
          <w:spacing w:val="9"/>
        </w:rPr>
        <w:t>等相关要求可以被认定为垄断的其他行为。</w:t>
      </w:r>
    </w:p>
    <w:p>
      <w:pPr>
        <w:pStyle w:val="BodyText"/>
        <w:ind w:right="97" w:firstLine="619"/>
        <w:spacing w:before="219" w:line="317" w:lineRule="auto"/>
        <w:rPr/>
      </w:pPr>
      <w:r>
        <w:rPr>
          <w:rFonts w:ascii="SimSun" w:hAnsi="SimSun" w:eastAsia="SimSun" w:cs="SimSun"/>
          <w:spacing w:val="13"/>
        </w:rPr>
        <w:t>4.</w:t>
      </w:r>
      <w:r>
        <w:rPr>
          <w:rFonts w:ascii="SimSun" w:hAnsi="SimSun" w:eastAsia="SimSun" w:cs="SimSun"/>
          <w:spacing w:val="-70"/>
        </w:rPr>
        <w:t xml:space="preserve"> </w:t>
      </w:r>
      <w:r>
        <w:rPr>
          <w:spacing w:val="13"/>
        </w:rPr>
        <w:t>企业承诺上调挂网价增加的药品销售收入不被用于带金销</w:t>
      </w:r>
      <w:r>
        <w:rPr/>
        <w:t xml:space="preserve"> </w:t>
      </w:r>
      <w:r>
        <w:rPr>
          <w:spacing w:val="15"/>
        </w:rPr>
        <w:t>售等不正当支出，不向经销商直接或间接输送超过企业自身净利</w:t>
      </w:r>
      <w:r>
        <w:rPr/>
        <w:t xml:space="preserve"> </w:t>
      </w:r>
      <w:r>
        <w:rPr>
          <w:spacing w:val="-4"/>
        </w:rPr>
        <w:t>润的利益。</w:t>
      </w:r>
    </w:p>
    <w:p>
      <w:pPr>
        <w:spacing w:line="317" w:lineRule="auto"/>
        <w:sectPr>
          <w:footerReference w:type="default" r:id="rId8"/>
          <w:pgSz w:w="11910" w:h="16840"/>
          <w:pgMar w:top="1431" w:right="1209" w:bottom="1387" w:left="1750" w:header="0" w:footer="998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firstLine="630"/>
        <w:spacing w:before="97" w:line="351" w:lineRule="auto"/>
        <w:jc w:val="both"/>
        <w:rPr/>
      </w:pPr>
      <w:r>
        <w:rPr>
          <w:rFonts w:ascii="SimSun" w:hAnsi="SimSun" w:eastAsia="SimSun" w:cs="SimSun"/>
          <w:spacing w:val="17"/>
        </w:rPr>
        <w:t>5.</w:t>
      </w:r>
      <w:r>
        <w:rPr>
          <w:rFonts w:ascii="SimSun" w:hAnsi="SimSun" w:eastAsia="SimSun" w:cs="SimSun"/>
          <w:spacing w:val="-51"/>
        </w:rPr>
        <w:t xml:space="preserve"> </w:t>
      </w:r>
      <w:r>
        <w:rPr>
          <w:spacing w:val="17"/>
        </w:rPr>
        <w:t>企业承诺，如有直接证据或者逻辑闭环的间接证据表明，</w:t>
      </w:r>
      <w:r>
        <w:rPr/>
        <w:t xml:space="preserve"> </w:t>
      </w:r>
      <w:r>
        <w:rPr>
          <w:spacing w:val="15"/>
        </w:rPr>
        <w:t>该药品涨价存在垄断或价格串通等违法情节之一，或者存在带金</w:t>
      </w:r>
      <w:r>
        <w:rPr>
          <w:spacing w:val="9"/>
        </w:rPr>
        <w:t xml:space="preserve">  </w:t>
      </w:r>
      <w:r>
        <w:rPr>
          <w:spacing w:val="16"/>
        </w:rPr>
        <w:t>销售、超额利益输送等行为之一的，无条件接受医疗保障部门将</w:t>
      </w:r>
      <w:r>
        <w:rPr>
          <w:spacing w:val="13"/>
        </w:rPr>
        <w:t xml:space="preserve"> </w:t>
      </w:r>
      <w:r>
        <w:rPr>
          <w:spacing w:val="28"/>
        </w:rPr>
        <w:t>挂网价回调至涨价前水平，同时按照涨价期间销量计算差价收</w:t>
      </w:r>
      <w:r>
        <w:rPr/>
        <w:t xml:space="preserve">  </w:t>
      </w:r>
      <w:r>
        <w:rPr>
          <w:spacing w:val="15"/>
        </w:rPr>
        <w:t>入，3倍返还相应省份医保基金。</w:t>
      </w:r>
    </w:p>
    <w:p>
      <w:pPr>
        <w:pStyle w:val="BodyText"/>
        <w:ind w:right="101" w:firstLine="630"/>
        <w:spacing w:before="39" w:line="353" w:lineRule="auto"/>
        <w:rPr/>
      </w:pPr>
      <w:r>
        <w:rPr>
          <w:spacing w:val="17"/>
        </w:rPr>
        <w:t>企业书面承诺全文通过相应省份医疗保障局官网或医药集中</w:t>
      </w:r>
      <w:r>
        <w:rPr>
          <w:spacing w:val="14"/>
        </w:rPr>
        <w:t xml:space="preserve"> </w:t>
      </w:r>
      <w:r>
        <w:rPr>
          <w:spacing w:val="7"/>
        </w:rPr>
        <w:t>采购机构网站公开。</w:t>
      </w:r>
    </w:p>
    <w:p>
      <w:pPr>
        <w:pStyle w:val="BodyText"/>
        <w:ind w:right="127" w:firstLine="634"/>
        <w:spacing w:before="30" w:line="364" w:lineRule="auto"/>
        <w:jc w:val="both"/>
        <w:rPr>
          <w:sz w:val="25"/>
          <w:szCs w:val="25"/>
        </w:rPr>
      </w:pPr>
      <w:r>
        <w:rPr>
          <w:rFonts w:ascii="SimHei" w:hAnsi="SimHei" w:eastAsia="SimHei" w:cs="SimHei"/>
          <w:b/>
          <w:bCs/>
          <w:spacing w:val="12"/>
        </w:rPr>
        <w:t>第十二条【备案采购</w:t>
      </w:r>
      <w:r>
        <w:rPr>
          <w:b/>
          <w:bCs/>
          <w:spacing w:val="12"/>
        </w:rPr>
        <w:t>】</w:t>
      </w:r>
      <w:r>
        <w:rPr>
          <w:spacing w:val="47"/>
        </w:rPr>
        <w:t xml:space="preserve">  </w:t>
      </w:r>
      <w:r>
        <w:rPr>
          <w:spacing w:val="12"/>
        </w:rPr>
        <w:t>药品短缺或存在短缺风险，且省级</w:t>
      </w:r>
      <w:r>
        <w:rPr>
          <w:spacing w:val="1"/>
        </w:rPr>
        <w:t xml:space="preserve"> </w:t>
      </w:r>
      <w:r>
        <w:rPr>
          <w:spacing w:val="16"/>
        </w:rPr>
        <w:t>医药集中采购平台没有活跃挂网，临床确需用药时，可由医疗机</w:t>
      </w:r>
      <w:r>
        <w:rPr>
          <w:spacing w:val="9"/>
        </w:rPr>
        <w:t xml:space="preserve"> </w:t>
      </w:r>
      <w:r>
        <w:rPr>
          <w:spacing w:val="40"/>
        </w:rPr>
        <w:t>构与医药企业议定临时采购价格，可以采取备案采购的临时</w:t>
      </w:r>
      <w:r>
        <w:rPr>
          <w:spacing w:val="17"/>
        </w:rPr>
        <w:t xml:space="preserve"> </w:t>
      </w:r>
      <w:r>
        <w:rPr>
          <w:sz w:val="25"/>
          <w:szCs w:val="25"/>
          <w:spacing w:val="-11"/>
        </w:rPr>
        <w:t>措</w:t>
      </w:r>
      <w:r>
        <w:rPr>
          <w:sz w:val="25"/>
          <w:szCs w:val="25"/>
          <w:spacing w:val="-17"/>
        </w:rPr>
        <w:t xml:space="preserve"> </w:t>
      </w:r>
      <w:r>
        <w:rPr>
          <w:sz w:val="25"/>
          <w:szCs w:val="25"/>
          <w:spacing w:val="-11"/>
        </w:rPr>
        <w:t>施</w:t>
      </w:r>
      <w:r>
        <w:rPr>
          <w:sz w:val="25"/>
          <w:szCs w:val="25"/>
          <w:spacing w:val="-33"/>
        </w:rPr>
        <w:t xml:space="preserve"> </w:t>
      </w:r>
      <w:r>
        <w:rPr>
          <w:sz w:val="25"/>
          <w:szCs w:val="25"/>
          <w:spacing w:val="-11"/>
        </w:rPr>
        <w:t>。</w:t>
      </w:r>
    </w:p>
    <w:p>
      <w:pPr>
        <w:pStyle w:val="BodyText"/>
        <w:ind w:right="126" w:firstLine="630"/>
        <w:spacing w:before="61" w:line="359" w:lineRule="auto"/>
        <w:jc w:val="both"/>
        <w:rPr/>
      </w:pPr>
      <w:r>
        <w:rPr>
          <w:spacing w:val="21"/>
        </w:rPr>
        <w:t>医疗机构应在采购后7个工作日内完成平台备案。企业应在</w:t>
      </w:r>
      <w:r>
        <w:rPr>
          <w:spacing w:val="4"/>
        </w:rPr>
        <w:t xml:space="preserve"> </w:t>
      </w:r>
      <w:r>
        <w:rPr>
          <w:spacing w:val="27"/>
        </w:rPr>
        <w:t>采购后30个工作日内按照或参照本操作指引第六、七、八、十</w:t>
      </w:r>
      <w:r>
        <w:rPr>
          <w:spacing w:val="6"/>
        </w:rPr>
        <w:t xml:space="preserve"> </w:t>
      </w:r>
      <w:r>
        <w:rPr>
          <w:spacing w:val="12"/>
        </w:rPr>
        <w:t>一条的风险防范要求申报挂网，逾期未申报的</w:t>
      </w:r>
      <w:r>
        <w:rPr>
          <w:spacing w:val="11"/>
        </w:rPr>
        <w:t>，备案采购无效。</w:t>
      </w:r>
    </w:p>
    <w:p>
      <w:pPr>
        <w:pStyle w:val="BodyText"/>
        <w:ind w:right="126" w:firstLine="630"/>
        <w:spacing w:before="7" w:line="356" w:lineRule="auto"/>
        <w:jc w:val="both"/>
        <w:rPr/>
      </w:pPr>
      <w:r>
        <w:rPr>
          <w:spacing w:val="16"/>
        </w:rPr>
        <w:t>各省医药集中采购机构定期监测省级医药集中采购平台备案</w:t>
      </w:r>
      <w:r>
        <w:rPr>
          <w:spacing w:val="16"/>
        </w:rPr>
        <w:t xml:space="preserve"> </w:t>
      </w:r>
      <w:r>
        <w:rPr>
          <w:spacing w:val="16"/>
        </w:rPr>
        <w:t>记录，比对公立医疗机构线下采购记录和平台备案记录，核查备</w:t>
      </w:r>
      <w:r>
        <w:rPr>
          <w:spacing w:val="11"/>
        </w:rPr>
        <w:t xml:space="preserve"> </w:t>
      </w:r>
      <w:r>
        <w:rPr>
          <w:spacing w:val="28"/>
        </w:rPr>
        <w:t>案采购原因和备案时间，对不符合备案采购要求和不按时备案</w:t>
      </w:r>
      <w:r>
        <w:rPr>
          <w:spacing w:val="6"/>
        </w:rPr>
        <w:t xml:space="preserve"> </w:t>
      </w:r>
      <w:r>
        <w:rPr>
          <w:spacing w:val="16"/>
        </w:rPr>
        <w:t>的，应要求公立医疗机构说明情况并出具相关证明材料。未能合</w:t>
      </w:r>
      <w:r>
        <w:rPr>
          <w:spacing w:val="7"/>
        </w:rPr>
        <w:t xml:space="preserve"> </w:t>
      </w:r>
      <w:r>
        <w:rPr>
          <w:spacing w:val="12"/>
        </w:rPr>
        <w:t>理解释的，作为问题线索移交相关部门核查处置。</w:t>
      </w:r>
    </w:p>
    <w:p>
      <w:pPr>
        <w:spacing w:before="139"/>
        <w:rPr/>
      </w:pPr>
      <w:r/>
    </w:p>
    <w:tbl>
      <w:tblPr>
        <w:tblStyle w:val="TableNormal"/>
        <w:tblW w:w="8233" w:type="dxa"/>
        <w:tblInd w:w="63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279"/>
        <w:gridCol w:w="4954"/>
      </w:tblGrid>
      <w:tr>
        <w:trPr>
          <w:trHeight w:val="643" w:hRule="atLeast"/>
        </w:trPr>
        <w:tc>
          <w:tcPr>
            <w:tcW w:w="3279" w:type="dxa"/>
            <w:vAlign w:val="top"/>
          </w:tcPr>
          <w:p>
            <w:pPr>
              <w:ind w:left="2149"/>
              <w:spacing w:line="221" w:lineRule="auto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ascii="SimHei" w:hAnsi="SimHei" w:eastAsia="SimHei" w:cs="SimHei"/>
                <w:sz w:val="30"/>
                <w:szCs w:val="30"/>
                <w:b/>
                <w:bCs/>
                <w:spacing w:val="17"/>
              </w:rPr>
              <w:t>第三章</w:t>
            </w:r>
          </w:p>
        </w:tc>
        <w:tc>
          <w:tcPr>
            <w:tcW w:w="4954" w:type="dxa"/>
            <w:vAlign w:val="top"/>
          </w:tcPr>
          <w:p>
            <w:pPr>
              <w:ind w:left="200"/>
              <w:spacing w:before="1" w:line="220" w:lineRule="auto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ascii="SimHei" w:hAnsi="SimHei" w:eastAsia="SimHei" w:cs="SimHei"/>
                <w:sz w:val="30"/>
                <w:szCs w:val="30"/>
                <w:b/>
                <w:bCs/>
                <w:spacing w:val="32"/>
              </w:rPr>
              <w:t>价格风险发现</w:t>
            </w:r>
          </w:p>
        </w:tc>
      </w:tr>
      <w:tr>
        <w:trPr>
          <w:trHeight w:val="645" w:hRule="atLeast"/>
        </w:trPr>
        <w:tc>
          <w:tcPr>
            <w:tcW w:w="3279" w:type="dxa"/>
            <w:vAlign w:val="top"/>
          </w:tcPr>
          <w:p>
            <w:pPr>
              <w:spacing w:before="337" w:line="183" w:lineRule="auto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ascii="SimHei" w:hAnsi="SimHei" w:eastAsia="SimHei" w:cs="SimHei"/>
                <w:sz w:val="30"/>
                <w:szCs w:val="30"/>
                <w:b/>
                <w:bCs/>
                <w:spacing w:val="8"/>
              </w:rPr>
              <w:t>第十三条【监测预警】</w:t>
            </w:r>
          </w:p>
        </w:tc>
        <w:tc>
          <w:tcPr>
            <w:tcW w:w="4954" w:type="dxa"/>
            <w:vAlign w:val="top"/>
          </w:tcPr>
          <w:p>
            <w:pPr>
              <w:spacing w:before="337" w:line="183" w:lineRule="auto"/>
              <w:jc w:val="right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9"/>
              </w:rPr>
              <w:t>国家医疗保障局定期监测国家“两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1431" w:right="1540" w:bottom="1377" w:left="1380" w:header="0" w:footer="9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right="30"/>
        <w:spacing w:before="98" w:line="372" w:lineRule="auto"/>
        <w:rPr/>
      </w:pPr>
      <w:r>
        <w:rPr>
          <w:spacing w:val="15"/>
        </w:rPr>
        <w:t>个清单”内短缺易短缺药品价格和配送情况，提取异常价格和异</w:t>
      </w:r>
      <w:r>
        <w:rPr>
          <w:spacing w:val="8"/>
        </w:rPr>
        <w:t xml:space="preserve"> </w:t>
      </w:r>
      <w:r>
        <w:rPr>
          <w:spacing w:val="10"/>
        </w:rPr>
        <w:t>常配送信息，将预警信息下发对应省份医疗保障部门核查处置。</w:t>
      </w:r>
    </w:p>
    <w:p>
      <w:pPr>
        <w:pStyle w:val="BodyText"/>
        <w:ind w:right="30" w:firstLine="639"/>
        <w:spacing w:line="363" w:lineRule="auto"/>
        <w:rPr/>
      </w:pPr>
      <w:r>
        <w:rPr>
          <w:spacing w:val="15"/>
        </w:rPr>
        <w:t>各省级医疗保障部门定期开展辖区内短缺药品价格和配</w:t>
      </w:r>
      <w:r>
        <w:rPr>
          <w:spacing w:val="14"/>
        </w:rPr>
        <w:t>送监</w:t>
      </w:r>
      <w:r>
        <w:rPr/>
        <w:t xml:space="preserve"> </w:t>
      </w:r>
      <w:r>
        <w:rPr>
          <w:spacing w:val="10"/>
        </w:rPr>
        <w:t>测，发现的价格风险信息由本省份医疗保障部门负责核查处置。</w:t>
      </w:r>
    </w:p>
    <w:p>
      <w:pPr>
        <w:pStyle w:val="BodyText"/>
        <w:ind w:firstLine="644"/>
        <w:spacing w:before="10" w:line="371" w:lineRule="auto"/>
        <w:rPr>
          <w:sz w:val="26"/>
          <w:szCs w:val="26"/>
        </w:rPr>
      </w:pPr>
      <w:r>
        <w:rPr>
          <w:rFonts w:ascii="SimHei" w:hAnsi="SimHei" w:eastAsia="SimHei" w:cs="SimHei"/>
          <w:b/>
          <w:bCs/>
          <w:spacing w:val="11"/>
        </w:rPr>
        <w:t>第十四条【案件查办</w:t>
      </w:r>
      <w:r>
        <w:rPr>
          <w:b/>
          <w:bCs/>
          <w:spacing w:val="11"/>
        </w:rPr>
        <w:t>】</w:t>
      </w:r>
      <w:r>
        <w:rPr>
          <w:spacing w:val="49"/>
        </w:rPr>
        <w:t xml:space="preserve">  </w:t>
      </w:r>
      <w:r>
        <w:rPr>
          <w:spacing w:val="11"/>
        </w:rPr>
        <w:t>上级部门部署、审计发现、纪检监</w:t>
      </w:r>
      <w:r>
        <w:rPr/>
        <w:t xml:space="preserve"> </w:t>
      </w:r>
      <w:r>
        <w:rPr>
          <w:spacing w:val="16"/>
        </w:rPr>
        <w:t>察移交的短缺易短缺药品异常涨价案情，医疗保障部门第一时间</w:t>
      </w:r>
      <w:r>
        <w:rPr>
          <w:spacing w:val="11"/>
        </w:rPr>
        <w:t xml:space="preserve"> </w:t>
      </w:r>
      <w:r>
        <w:rPr>
          <w:spacing w:val="15"/>
        </w:rPr>
        <w:t>督促纠正不公平价格，引导企业阶段性降价以防止风险延续和外</w:t>
      </w:r>
      <w:r>
        <w:rPr>
          <w:spacing w:val="10"/>
        </w:rPr>
        <w:t xml:space="preserve"> </w:t>
      </w:r>
      <w:r>
        <w:rPr>
          <w:spacing w:val="15"/>
        </w:rPr>
        <w:t>溢；同步配合相关部门调查，跟进纠正后续查实的违规涨价、虚</w:t>
      </w:r>
      <w:r>
        <w:rPr>
          <w:spacing w:val="16"/>
        </w:rPr>
        <w:t xml:space="preserve"> </w:t>
      </w:r>
      <w:r>
        <w:rPr>
          <w:sz w:val="26"/>
          <w:szCs w:val="26"/>
          <w:spacing w:val="27"/>
        </w:rPr>
        <w:t>高空间。</w:t>
      </w:r>
    </w:p>
    <w:p>
      <w:pPr>
        <w:pStyle w:val="BodyText"/>
        <w:ind w:right="27" w:firstLine="639"/>
        <w:spacing w:before="46" w:line="363" w:lineRule="auto"/>
        <w:jc w:val="both"/>
        <w:rPr/>
      </w:pPr>
      <w:r>
        <w:rPr>
          <w:spacing w:val="14"/>
        </w:rPr>
        <w:t>主动关切其他部门查办并公开的药品垄断和价格违法案件的</w:t>
      </w:r>
      <w:r>
        <w:rPr>
          <w:spacing w:val="14"/>
        </w:rPr>
        <w:t xml:space="preserve"> </w:t>
      </w:r>
      <w:r>
        <w:rPr>
          <w:spacing w:val="15"/>
        </w:rPr>
        <w:t>执法成果。对于涉及短缺易短缺药品的，主动联系执法单位了解</w:t>
      </w:r>
      <w:r>
        <w:rPr>
          <w:spacing w:val="12"/>
        </w:rPr>
        <w:t xml:space="preserve"> </w:t>
      </w:r>
      <w:r>
        <w:rPr>
          <w:spacing w:val="15"/>
        </w:rPr>
        <w:t>违规涨价的具体情节，督促企业将挂网价重置到实施垄断或价格</w:t>
      </w:r>
      <w:r>
        <w:rPr>
          <w:spacing w:val="7"/>
        </w:rPr>
        <w:t xml:space="preserve"> </w:t>
      </w:r>
      <w:r>
        <w:rPr>
          <w:spacing w:val="6"/>
        </w:rPr>
        <w:t>违法行为前的合理水平。</w:t>
      </w:r>
    </w:p>
    <w:p>
      <w:pPr>
        <w:pStyle w:val="BodyText"/>
        <w:ind w:right="19" w:firstLine="644"/>
        <w:spacing w:before="25" w:line="364" w:lineRule="auto"/>
        <w:jc w:val="both"/>
        <w:rPr/>
      </w:pPr>
      <w:r>
        <w:rPr>
          <w:rFonts w:ascii="SimHei" w:hAnsi="SimHei" w:eastAsia="SimHei" w:cs="SimHei"/>
          <w:b/>
          <w:bCs/>
          <w:spacing w:val="10"/>
        </w:rPr>
        <w:t>第十五条【线索处理</w:t>
      </w:r>
      <w:r>
        <w:rPr>
          <w:b/>
          <w:bCs/>
          <w:spacing w:val="10"/>
        </w:rPr>
        <w:t>】</w:t>
      </w:r>
      <w:r>
        <w:rPr>
          <w:spacing w:val="53"/>
        </w:rPr>
        <w:t xml:space="preserve">  </w:t>
      </w:r>
      <w:r>
        <w:rPr>
          <w:spacing w:val="10"/>
        </w:rPr>
        <w:t>国家联动机制牵头单位</w:t>
      </w:r>
      <w:r>
        <w:rPr>
          <w:spacing w:val="9"/>
        </w:rPr>
        <w:t>、成员单位</w:t>
      </w:r>
      <w:r>
        <w:rPr/>
        <w:t xml:space="preserve"> </w:t>
      </w:r>
      <w:r>
        <w:rPr>
          <w:spacing w:val="15"/>
        </w:rPr>
        <w:t>提供，以及地方医疗保障部门正式报告的异常涨价线索，通过全</w:t>
      </w:r>
      <w:r>
        <w:rPr>
          <w:spacing w:val="6"/>
        </w:rPr>
        <w:t xml:space="preserve"> </w:t>
      </w:r>
      <w:r>
        <w:rPr>
          <w:spacing w:val="16"/>
        </w:rPr>
        <w:t>国统一的医保信息平台招采子系统排查首涨省</w:t>
      </w:r>
      <w:r>
        <w:rPr>
          <w:spacing w:val="15"/>
        </w:rPr>
        <w:t>，由其牵头承担资</w:t>
      </w:r>
      <w:r>
        <w:rPr/>
        <w:t xml:space="preserve"> </w:t>
      </w:r>
      <w:r>
        <w:rPr>
          <w:spacing w:val="15"/>
        </w:rPr>
        <w:t>料复核、价格调查、督促整改、追偿损失等责任，涨价品种产地</w:t>
      </w:r>
      <w:r>
        <w:rPr>
          <w:spacing w:val="12"/>
        </w:rPr>
        <w:t xml:space="preserve"> </w:t>
      </w:r>
      <w:r>
        <w:rPr>
          <w:spacing w:val="8"/>
        </w:rPr>
        <w:t>省、采购金额排名靠前省配合。</w:t>
      </w:r>
    </w:p>
    <w:p>
      <w:pPr>
        <w:pStyle w:val="BodyText"/>
        <w:ind w:right="18" w:firstLine="639"/>
        <w:spacing w:before="18" w:line="374" w:lineRule="auto"/>
        <w:jc w:val="both"/>
        <w:rPr/>
      </w:pPr>
      <w:r>
        <w:rPr>
          <w:spacing w:val="15"/>
        </w:rPr>
        <w:t>媒体报道、群众信访等渠道获取的异常涨价线索，具有明确</w:t>
      </w:r>
      <w:r>
        <w:rPr>
          <w:spacing w:val="10"/>
        </w:rPr>
        <w:t xml:space="preserve"> </w:t>
      </w:r>
      <w:r>
        <w:rPr>
          <w:spacing w:val="15"/>
        </w:rPr>
        <w:t>指向，按照首涨省牵头，产地省、采购金额排名靠前省配合的方</w:t>
      </w:r>
      <w:r>
        <w:rPr>
          <w:spacing w:val="8"/>
        </w:rPr>
        <w:t xml:space="preserve"> </w:t>
      </w:r>
      <w:r>
        <w:rPr>
          <w:spacing w:val="7"/>
        </w:rPr>
        <w:t>式处置；无明确指向的，留存备查。</w:t>
      </w:r>
    </w:p>
    <w:p>
      <w:pPr>
        <w:spacing w:line="374" w:lineRule="auto"/>
        <w:sectPr>
          <w:footerReference w:type="default" r:id="rId10"/>
          <w:pgSz w:w="11910" w:h="16840"/>
          <w:pgMar w:top="1431" w:right="1309" w:bottom="1367" w:left="1740" w:header="0" w:footer="976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774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5"/>
        </w:rPr>
        <w:t>第四章</w:t>
      </w:r>
      <w:r>
        <w:rPr>
          <w:rFonts w:ascii="SimHei" w:hAnsi="SimHei" w:eastAsia="SimHei" w:cs="SimHei"/>
          <w:sz w:val="30"/>
          <w:szCs w:val="30"/>
          <w:spacing w:val="34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25"/>
        </w:rPr>
        <w:t>价格风险应对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118" w:firstLine="634"/>
        <w:spacing w:before="98" w:line="345" w:lineRule="auto"/>
        <w:rPr/>
      </w:pPr>
      <w:r>
        <w:rPr>
          <w:rFonts w:ascii="SimHei" w:hAnsi="SimHei" w:eastAsia="SimHei" w:cs="SimHei"/>
          <w:b/>
          <w:bCs/>
          <w:spacing w:val="26"/>
        </w:rPr>
        <w:t>第十六条【提醒告诫】</w:t>
      </w:r>
      <w:r>
        <w:rPr>
          <w:rFonts w:ascii="SimHei" w:hAnsi="SimHei" w:eastAsia="SimHei" w:cs="SimHei"/>
          <w:spacing w:val="26"/>
        </w:rPr>
        <w:t xml:space="preserve">  </w:t>
      </w:r>
      <w:r>
        <w:rPr>
          <w:spacing w:val="26"/>
        </w:rPr>
        <w:t>短缺易短缺药品存在异常涨价苗</w:t>
      </w:r>
      <w:r>
        <w:rPr/>
        <w:t xml:space="preserve"> </w:t>
      </w:r>
      <w:r>
        <w:rPr>
          <w:spacing w:val="40"/>
        </w:rPr>
        <w:t>头或异常涨价情节轻微、尚未造成明显危害的，省级医疗保</w:t>
      </w:r>
      <w:r>
        <w:rPr>
          <w:spacing w:val="2"/>
        </w:rPr>
        <w:t xml:space="preserve"> </w:t>
      </w:r>
      <w:r>
        <w:rPr>
          <w:spacing w:val="40"/>
        </w:rPr>
        <w:t>障部门指导医药集中采购机构对涉事企业进行提醒告诫，严</w:t>
      </w:r>
      <w:r>
        <w:rPr>
          <w:spacing w:val="10"/>
        </w:rPr>
        <w:t xml:space="preserve"> </w:t>
      </w:r>
      <w:r>
        <w:rPr>
          <w:spacing w:val="40"/>
        </w:rPr>
        <w:t>正表达关切，强调法律和政策后果，引导企业</w:t>
      </w:r>
      <w:r>
        <w:rPr>
          <w:spacing w:val="39"/>
        </w:rPr>
        <w:t>主动规范自身</w:t>
      </w:r>
      <w:r>
        <w:rPr/>
        <w:t xml:space="preserve"> </w:t>
      </w:r>
      <w:r>
        <w:rPr>
          <w:spacing w:val="14"/>
        </w:rPr>
        <w:t>价格行为。</w:t>
      </w:r>
    </w:p>
    <w:p>
      <w:pPr>
        <w:pStyle w:val="BodyText"/>
        <w:ind w:right="101" w:firstLine="634"/>
        <w:spacing w:before="283" w:line="354" w:lineRule="auto"/>
        <w:rPr/>
      </w:pPr>
      <w:r>
        <w:rPr>
          <w:rFonts w:ascii="SimHei" w:hAnsi="SimHei" w:eastAsia="SimHei" w:cs="SimHei"/>
          <w:b/>
          <w:bCs/>
          <w:spacing w:val="24"/>
        </w:rPr>
        <w:t>第十七条【函询调查</w:t>
      </w:r>
      <w:r>
        <w:rPr>
          <w:rFonts w:ascii="SimSun" w:hAnsi="SimSun" w:eastAsia="SimSun" w:cs="SimSun"/>
          <w:b/>
          <w:bCs/>
          <w:spacing w:val="24"/>
        </w:rPr>
        <w:t>】</w:t>
      </w:r>
      <w:r>
        <w:rPr>
          <w:rFonts w:ascii="SimSun" w:hAnsi="SimSun" w:eastAsia="SimSun" w:cs="SimSun"/>
          <w:spacing w:val="59"/>
        </w:rPr>
        <w:t xml:space="preserve">  </w:t>
      </w:r>
      <w:r>
        <w:rPr>
          <w:spacing w:val="24"/>
        </w:rPr>
        <w:t>短缺易短缺药品存在异常涨价现</w:t>
      </w:r>
      <w:r>
        <w:rPr/>
        <w:t xml:space="preserve"> </w:t>
      </w:r>
      <w:r>
        <w:rPr>
          <w:spacing w:val="17"/>
        </w:rPr>
        <w:t>象，不公平价格扩散、侵害患者价格权益、</w:t>
      </w:r>
      <w:r>
        <w:rPr>
          <w:spacing w:val="16"/>
        </w:rPr>
        <w:t>造成医保基金损失等</w:t>
      </w:r>
      <w:r>
        <w:rPr/>
        <w:t xml:space="preserve"> </w:t>
      </w:r>
      <w:r>
        <w:rPr>
          <w:spacing w:val="15"/>
        </w:rPr>
        <w:t>风险较高的，省级医疗保障部门可以通过函询的方式对涨价企业</w:t>
      </w:r>
      <w:r>
        <w:rPr>
          <w:spacing w:val="18"/>
        </w:rPr>
        <w:t xml:space="preserve"> </w:t>
      </w:r>
      <w:r>
        <w:rPr>
          <w:spacing w:val="16"/>
        </w:rPr>
        <w:t>开展书面调查，对照本操作指引第二章“价格风险</w:t>
      </w:r>
      <w:r>
        <w:rPr>
          <w:spacing w:val="15"/>
        </w:rPr>
        <w:t>防范”的有关</w:t>
      </w:r>
      <w:r>
        <w:rPr/>
        <w:t xml:space="preserve"> </w:t>
      </w:r>
      <w:r>
        <w:rPr>
          <w:spacing w:val="27"/>
        </w:rPr>
        <w:t>要求，请企业对涨价原因(必要性)以及涨价</w:t>
      </w:r>
      <w:r>
        <w:rPr>
          <w:spacing w:val="26"/>
        </w:rPr>
        <w:t>要素与最终涨幅的</w:t>
      </w:r>
      <w:r>
        <w:rPr/>
        <w:t xml:space="preserve"> </w:t>
      </w:r>
      <w:r>
        <w:rPr>
          <w:spacing w:val="32"/>
        </w:rPr>
        <w:t>匹配程度(合理性),以及下一步调整价格策略的考</w:t>
      </w:r>
      <w:r>
        <w:rPr>
          <w:spacing w:val="31"/>
        </w:rPr>
        <w:t>虑等进行说</w:t>
      </w:r>
      <w:r>
        <w:rPr/>
        <w:t xml:space="preserve"> </w:t>
      </w:r>
      <w:r>
        <w:rPr>
          <w:spacing w:val="10"/>
        </w:rPr>
        <w:t>明。必要时，函询调查可以公开问询的方式进行。</w:t>
      </w:r>
    </w:p>
    <w:p>
      <w:pPr>
        <w:pStyle w:val="BodyText"/>
        <w:ind w:firstLine="634"/>
        <w:spacing w:before="273" w:line="354" w:lineRule="auto"/>
        <w:rPr/>
      </w:pPr>
      <w:r>
        <w:rPr>
          <w:rFonts w:ascii="SimHei" w:hAnsi="SimHei" w:eastAsia="SimHei" w:cs="SimHei"/>
          <w:b/>
          <w:bCs/>
          <w:spacing w:val="24"/>
        </w:rPr>
        <w:t>第十八条【约谈整改</w:t>
      </w:r>
      <w:r>
        <w:rPr>
          <w:rFonts w:ascii="SimSun" w:hAnsi="SimSun" w:eastAsia="SimSun" w:cs="SimSun"/>
          <w:b/>
          <w:bCs/>
          <w:spacing w:val="24"/>
        </w:rPr>
        <w:t>】</w:t>
      </w:r>
      <w:r>
        <w:rPr>
          <w:rFonts w:ascii="SimSun" w:hAnsi="SimSun" w:eastAsia="SimSun" w:cs="SimSun"/>
          <w:spacing w:val="59"/>
        </w:rPr>
        <w:t xml:space="preserve">  </w:t>
      </w:r>
      <w:r>
        <w:rPr>
          <w:spacing w:val="24"/>
        </w:rPr>
        <w:t>短缺易短缺药品存在异常涨价现</w:t>
      </w:r>
      <w:r>
        <w:rPr/>
        <w:t xml:space="preserve"> </w:t>
      </w:r>
      <w:r>
        <w:rPr>
          <w:spacing w:val="16"/>
        </w:rPr>
        <w:t>象，不公平价格扩散、侵害患者价格权益、造成医保基金损失等</w:t>
      </w:r>
      <w:r>
        <w:rPr/>
        <w:t xml:space="preserve"> </w:t>
      </w:r>
      <w:r>
        <w:rPr>
          <w:spacing w:val="16"/>
        </w:rPr>
        <w:t>风险较高，经函询调查，企业未能充分有效说明涨价必要性、合</w:t>
      </w:r>
      <w:r>
        <w:rPr>
          <w:spacing w:val="7"/>
        </w:rPr>
        <w:t xml:space="preserve"> </w:t>
      </w:r>
      <w:r>
        <w:rPr>
          <w:spacing w:val="16"/>
        </w:rPr>
        <w:t>理性的，省级医疗保障部门正式约谈涨价企业，当面质询涨价原</w:t>
      </w:r>
      <w:r>
        <w:rPr>
          <w:spacing w:val="3"/>
        </w:rPr>
        <w:t xml:space="preserve"> </w:t>
      </w:r>
      <w:r>
        <w:rPr>
          <w:spacing w:val="16"/>
        </w:rPr>
        <w:t>因，督促企业整改。短缺易短缺药品异常涨价幅</w:t>
      </w:r>
      <w:r>
        <w:rPr>
          <w:spacing w:val="15"/>
        </w:rPr>
        <w:t>度巨大，风险外</w:t>
      </w:r>
      <w:r>
        <w:rPr/>
        <w:t xml:space="preserve"> </w:t>
      </w:r>
      <w:r>
        <w:rPr>
          <w:spacing w:val="16"/>
        </w:rPr>
        <w:t>溢速度快的，约谈整改可与函询调查合并进行，或者越过函询调</w:t>
      </w:r>
      <w:r>
        <w:rPr>
          <w:spacing w:val="3"/>
        </w:rPr>
        <w:t xml:space="preserve"> </w:t>
      </w:r>
      <w:r>
        <w:rPr>
          <w:spacing w:val="20"/>
        </w:rPr>
        <w:t>查直接进行约谈整改，必要时可由国家医疗保障部门提级管理，</w:t>
      </w:r>
    </w:p>
    <w:p>
      <w:pPr>
        <w:spacing w:line="354" w:lineRule="auto"/>
        <w:sectPr>
          <w:footerReference w:type="default" r:id="rId11"/>
          <w:pgSz w:w="11910" w:h="16840"/>
          <w:pgMar w:top="1431" w:right="1539" w:bottom="1297" w:left="1400" w:header="0" w:footer="90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spacing w:before="98" w:line="222" w:lineRule="auto"/>
        <w:rPr/>
      </w:pPr>
      <w:r>
        <w:rPr>
          <w:spacing w:val="7"/>
        </w:rPr>
        <w:t>直接正式约谈涨价企业。</w:t>
      </w:r>
    </w:p>
    <w:p>
      <w:pPr>
        <w:pStyle w:val="BodyText"/>
        <w:ind w:right="17" w:firstLine="639"/>
        <w:spacing w:before="229" w:line="361" w:lineRule="auto"/>
        <w:jc w:val="both"/>
        <w:rPr/>
      </w:pPr>
      <w:r>
        <w:rPr>
          <w:spacing w:val="16"/>
        </w:rPr>
        <w:t>企业方面主动承诺限时降低不公平价格，原则上需要将挂网</w:t>
      </w:r>
      <w:r>
        <w:rPr>
          <w:spacing w:val="7"/>
        </w:rPr>
        <w:t xml:space="preserve"> </w:t>
      </w:r>
      <w:r>
        <w:rPr>
          <w:spacing w:val="16"/>
        </w:rPr>
        <w:t>价重置到实施垄断、价格违法等失信行为前的合</w:t>
      </w:r>
      <w:r>
        <w:rPr>
          <w:spacing w:val="15"/>
        </w:rPr>
        <w:t>理水平，或者将</w:t>
      </w:r>
      <w:r>
        <w:rPr/>
        <w:t xml:space="preserve"> </w:t>
      </w:r>
      <w:r>
        <w:rPr>
          <w:spacing w:val="32"/>
        </w:rPr>
        <w:t>挂网价降至同时符合第九条“直通型挂网”条件第1-7项中的</w:t>
      </w:r>
      <w:r>
        <w:rPr>
          <w:spacing w:val="2"/>
        </w:rPr>
        <w:t xml:space="preserve"> </w:t>
      </w:r>
      <w:r>
        <w:rPr>
          <w:spacing w:val="8"/>
        </w:rPr>
        <w:t>任意两项的，可以视作完成整改。</w:t>
      </w:r>
    </w:p>
    <w:p>
      <w:pPr>
        <w:pStyle w:val="BodyText"/>
        <w:ind w:right="27" w:firstLine="644"/>
        <w:spacing w:line="363" w:lineRule="auto"/>
        <w:jc w:val="both"/>
        <w:rPr/>
      </w:pPr>
      <w:r>
        <w:rPr>
          <w:rFonts w:ascii="SimHei" w:hAnsi="SimHei" w:eastAsia="SimHei" w:cs="SimHei"/>
          <w:b/>
          <w:bCs/>
          <w:spacing w:val="14"/>
        </w:rPr>
        <w:t>第十九条【信用评价</w:t>
      </w:r>
      <w:r>
        <w:rPr>
          <w:b/>
          <w:bCs/>
          <w:spacing w:val="14"/>
        </w:rPr>
        <w:t>】</w:t>
      </w:r>
      <w:r>
        <w:rPr>
          <w:spacing w:val="14"/>
        </w:rPr>
        <w:t xml:space="preserve">  </w:t>
      </w:r>
      <w:r>
        <w:rPr>
          <w:spacing w:val="14"/>
        </w:rPr>
        <w:t>各省级医疗保障部门针对经多次函</w:t>
      </w:r>
      <w:r>
        <w:rPr/>
        <w:t xml:space="preserve"> </w:t>
      </w:r>
      <w:r>
        <w:rPr>
          <w:spacing w:val="16"/>
        </w:rPr>
        <w:t>询约谈无效、涨价理由缺乏合理性、必要性，</w:t>
      </w:r>
      <w:r>
        <w:rPr>
          <w:spacing w:val="15"/>
        </w:rPr>
        <w:t>推诿拒绝整改或整</w:t>
      </w:r>
      <w:r>
        <w:rPr/>
        <w:t xml:space="preserve"> </w:t>
      </w:r>
      <w:r>
        <w:rPr>
          <w:spacing w:val="15"/>
        </w:rPr>
        <w:t>改不到位的，临时采购但未按要求完成备案或挂网的，未在承诺</w:t>
      </w:r>
      <w:r>
        <w:rPr/>
        <w:t xml:space="preserve"> </w:t>
      </w:r>
      <w:r>
        <w:rPr>
          <w:spacing w:val="16"/>
        </w:rPr>
        <w:t>时限内补交审计报告的，审计报告结论与企业承</w:t>
      </w:r>
      <w:r>
        <w:rPr>
          <w:spacing w:val="15"/>
        </w:rPr>
        <w:t>诺不一致，以及</w:t>
      </w:r>
      <w:r>
        <w:rPr/>
        <w:t xml:space="preserve"> </w:t>
      </w:r>
      <w:r>
        <w:rPr>
          <w:spacing w:val="15"/>
        </w:rPr>
        <w:t>发现提供虚假信息、不履行承诺的，作为医药价格和招采信用评</w:t>
      </w:r>
      <w:r>
        <w:rPr>
          <w:spacing w:val="18"/>
        </w:rPr>
        <w:t xml:space="preserve"> </w:t>
      </w:r>
      <w:r>
        <w:rPr>
          <w:spacing w:val="16"/>
        </w:rPr>
        <w:t>价失信事项，首涨省最低按“严重失信”给予信用评级并采取相</w:t>
      </w:r>
      <w:r>
        <w:rPr>
          <w:spacing w:val="3"/>
        </w:rPr>
        <w:t xml:space="preserve"> </w:t>
      </w:r>
      <w:r>
        <w:rPr>
          <w:spacing w:val="16"/>
        </w:rPr>
        <w:t>应约束措施。其他跟进涨价的省份参照首涨省给予信用</w:t>
      </w:r>
      <w:r>
        <w:rPr>
          <w:spacing w:val="15"/>
        </w:rPr>
        <w:t>评级并采</w:t>
      </w:r>
      <w:r>
        <w:rPr/>
        <w:t xml:space="preserve"> </w:t>
      </w:r>
      <w:r>
        <w:rPr>
          <w:spacing w:val="4"/>
        </w:rPr>
        <w:t>取相应约束措施。</w:t>
      </w:r>
    </w:p>
    <w:p>
      <w:pPr>
        <w:pStyle w:val="BodyText"/>
        <w:ind w:right="34" w:firstLine="639"/>
        <w:spacing w:before="45" w:line="362" w:lineRule="auto"/>
        <w:jc w:val="both"/>
        <w:rPr/>
      </w:pPr>
      <w:r>
        <w:rPr>
          <w:spacing w:val="15"/>
        </w:rPr>
        <w:t>对于临床必需确实不可替代的短缺易短缺药品，不宜以暂停</w:t>
      </w:r>
      <w:r>
        <w:rPr>
          <w:spacing w:val="9"/>
        </w:rPr>
        <w:t xml:space="preserve"> </w:t>
      </w:r>
      <w:r>
        <w:rPr>
          <w:spacing w:val="15"/>
        </w:rPr>
        <w:t>挂网予以惩戒的，可公开谴责企业不合理不诚信的涨价行为，并</w:t>
      </w:r>
      <w:r>
        <w:rPr>
          <w:spacing w:val="17"/>
        </w:rPr>
        <w:t xml:space="preserve"> </w:t>
      </w:r>
      <w:r>
        <w:rPr>
          <w:spacing w:val="16"/>
        </w:rPr>
        <w:t>在药品集中带量采购、阳光挂网采购中，基于涨价企业的失信等</w:t>
      </w:r>
      <w:r>
        <w:rPr/>
        <w:t xml:space="preserve"> </w:t>
      </w:r>
      <w:r>
        <w:rPr>
          <w:spacing w:val="5"/>
        </w:rPr>
        <w:t>级采取一定的约束措施。</w:t>
      </w:r>
    </w:p>
    <w:p>
      <w:pPr>
        <w:pStyle w:val="BodyText"/>
        <w:ind w:right="20" w:firstLine="644"/>
        <w:spacing w:before="4" w:line="363" w:lineRule="auto"/>
        <w:jc w:val="both"/>
        <w:rPr/>
      </w:pPr>
      <w:r>
        <w:rPr>
          <w:rFonts w:ascii="SimHei" w:hAnsi="SimHei" w:eastAsia="SimHei" w:cs="SimHei"/>
          <w:b/>
          <w:bCs/>
          <w:spacing w:val="25"/>
        </w:rPr>
        <w:t>第二十条【价格协同-风险警示</w:t>
      </w:r>
      <w:r>
        <w:rPr>
          <w:b/>
          <w:bCs/>
          <w:spacing w:val="25"/>
        </w:rPr>
        <w:t>】</w:t>
      </w:r>
      <w:r>
        <w:rPr>
          <w:spacing w:val="25"/>
        </w:rPr>
        <w:t xml:space="preserve">  </w:t>
      </w:r>
      <w:r>
        <w:rPr>
          <w:spacing w:val="25"/>
        </w:rPr>
        <w:t>短缺易短</w:t>
      </w:r>
      <w:r>
        <w:rPr>
          <w:spacing w:val="24"/>
        </w:rPr>
        <w:t>缺药品有4家</w:t>
      </w:r>
      <w:r>
        <w:rPr/>
        <w:t xml:space="preserve"> </w:t>
      </w:r>
      <w:r>
        <w:rPr>
          <w:spacing w:val="15"/>
        </w:rPr>
        <w:t>及以下企业同时挂网供应，经医疗保障部门函询约谈后部分品牌</w:t>
      </w:r>
      <w:r>
        <w:rPr>
          <w:spacing w:val="18"/>
        </w:rPr>
        <w:t xml:space="preserve"> </w:t>
      </w:r>
      <w:r>
        <w:rPr>
          <w:spacing w:val="16"/>
        </w:rPr>
        <w:t>主动整改降低偏高价格，以首个通过整改的承</w:t>
      </w:r>
      <w:r>
        <w:rPr>
          <w:spacing w:val="15"/>
        </w:rPr>
        <w:t>诺价格为基准，对</w:t>
      </w:r>
      <w:r>
        <w:rPr/>
        <w:t xml:space="preserve"> </w:t>
      </w:r>
      <w:r>
        <w:rPr>
          <w:spacing w:val="9"/>
        </w:rPr>
        <w:t>其他品牌采取风险警示的方式加强督促引导。</w:t>
      </w:r>
    </w:p>
    <w:p>
      <w:pPr>
        <w:pStyle w:val="BodyText"/>
        <w:spacing w:line="221" w:lineRule="auto"/>
        <w:jc w:val="right"/>
        <w:rPr/>
      </w:pPr>
      <w:r>
        <w:rPr>
          <w:rFonts w:ascii="SimSun" w:hAnsi="SimSun" w:eastAsia="SimSun" w:cs="SimSun"/>
          <w:spacing w:val="12"/>
        </w:rPr>
        <w:t>1.</w:t>
      </w:r>
      <w:r>
        <w:rPr>
          <w:rFonts w:ascii="SimSun" w:hAnsi="SimSun" w:eastAsia="SimSun" w:cs="SimSun"/>
          <w:spacing w:val="-26"/>
        </w:rPr>
        <w:t xml:space="preserve"> </w:t>
      </w:r>
      <w:r>
        <w:rPr>
          <w:spacing w:val="12"/>
        </w:rPr>
        <w:t>其他品牌重新申报的挂网价格不高于基准</w:t>
      </w:r>
      <w:r>
        <w:rPr>
          <w:spacing w:val="11"/>
        </w:rPr>
        <w:t>的，直接挂网且</w:t>
      </w:r>
    </w:p>
    <w:p>
      <w:pPr>
        <w:spacing w:line="221" w:lineRule="auto"/>
        <w:sectPr>
          <w:footerReference w:type="default" r:id="rId12"/>
          <w:pgSz w:w="11910" w:h="16840"/>
          <w:pgMar w:top="1431" w:right="1307" w:bottom="1437" w:left="1720" w:header="0" w:footer="1046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spacing w:before="97" w:line="220" w:lineRule="auto"/>
        <w:rPr/>
      </w:pPr>
      <w:r>
        <w:rPr>
          <w:spacing w:val="6"/>
        </w:rPr>
        <w:t>不作风险警示标识。</w:t>
      </w:r>
    </w:p>
    <w:p>
      <w:pPr>
        <w:pStyle w:val="BodyText"/>
        <w:ind w:right="106" w:firstLine="610"/>
        <w:spacing w:before="255" w:line="323" w:lineRule="auto"/>
        <w:rPr/>
      </w:pPr>
      <w:r>
        <w:rPr>
          <w:rFonts w:ascii="SimSun" w:hAnsi="SimSun" w:eastAsia="SimSun" w:cs="SimSun"/>
          <w:spacing w:val="18"/>
        </w:rPr>
        <w:t>2.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18"/>
        </w:rPr>
        <w:t>其他品牌重新申报的挂网价格不高于基准的1.8倍，直接</w:t>
      </w:r>
      <w:r>
        <w:rPr/>
        <w:t xml:space="preserve"> </w:t>
      </w:r>
      <w:r>
        <w:rPr>
          <w:spacing w:val="17"/>
        </w:rPr>
        <w:t>挂网的同时将产品名称、价格等挂网信息的字体或背景</w:t>
      </w:r>
      <w:r>
        <w:rPr>
          <w:spacing w:val="16"/>
        </w:rPr>
        <w:t>标记为黄</w:t>
      </w:r>
      <w:r>
        <w:rPr/>
        <w:t xml:space="preserve"> </w:t>
      </w:r>
      <w:r>
        <w:rPr>
          <w:spacing w:val="17"/>
        </w:rPr>
        <w:t>色，公立医疗机构下订单时弹窗提示本平台同用途</w:t>
      </w:r>
      <w:r>
        <w:rPr>
          <w:spacing w:val="16"/>
        </w:rPr>
        <w:t>产品信息，建</w:t>
      </w:r>
      <w:r>
        <w:rPr/>
        <w:t xml:space="preserve"> </w:t>
      </w:r>
      <w:r>
        <w:rPr>
          <w:spacing w:val="9"/>
        </w:rPr>
        <w:t>议优先采购无特殊标记的同用途产品。</w:t>
      </w:r>
    </w:p>
    <w:p>
      <w:pPr>
        <w:pStyle w:val="BodyText"/>
        <w:ind w:firstLine="610"/>
        <w:spacing w:before="272" w:line="323" w:lineRule="auto"/>
        <w:rPr/>
      </w:pPr>
      <w:r>
        <w:rPr>
          <w:rFonts w:ascii="SimSun" w:hAnsi="SimSun" w:eastAsia="SimSun" w:cs="SimSun"/>
          <w:spacing w:val="17"/>
        </w:rPr>
        <w:t>3.</w:t>
      </w:r>
      <w:r>
        <w:rPr>
          <w:rFonts w:ascii="SimSun" w:hAnsi="SimSun" w:eastAsia="SimSun" w:cs="SimSun"/>
          <w:spacing w:val="-39"/>
        </w:rPr>
        <w:t xml:space="preserve"> </w:t>
      </w:r>
      <w:r>
        <w:rPr>
          <w:spacing w:val="17"/>
        </w:rPr>
        <w:t>其他品牌重新申报的挂网价格高于基准的1.8倍，直接挂</w:t>
      </w:r>
      <w:r>
        <w:rPr/>
        <w:t xml:space="preserve">  </w:t>
      </w:r>
      <w:r>
        <w:rPr>
          <w:spacing w:val="27"/>
        </w:rPr>
        <w:t>网的同时将产品名称、价格等挂网信息的字体或背景标记为红</w:t>
      </w:r>
      <w:r>
        <w:rPr>
          <w:spacing w:val="9"/>
        </w:rPr>
        <w:t xml:space="preserve">  </w:t>
      </w:r>
      <w:r>
        <w:rPr>
          <w:spacing w:val="21"/>
        </w:rPr>
        <w:t>色，公立医疗机构下订单时弹窗警告，提示</w:t>
      </w:r>
      <w:r>
        <w:rPr>
          <w:spacing w:val="20"/>
        </w:rPr>
        <w:t>本平台同用途产品，</w:t>
      </w:r>
      <w:r>
        <w:rPr/>
        <w:t xml:space="preserve"> </w:t>
      </w:r>
      <w:r>
        <w:rPr>
          <w:spacing w:val="8"/>
        </w:rPr>
        <w:t>要求优先采购非红标的同用途产品。</w:t>
      </w:r>
    </w:p>
    <w:p>
      <w:pPr>
        <w:pStyle w:val="BodyText"/>
        <w:ind w:right="91" w:firstLine="614"/>
        <w:spacing w:before="273" w:line="360" w:lineRule="auto"/>
        <w:jc w:val="both"/>
        <w:rPr/>
      </w:pPr>
      <w:r>
        <w:rPr>
          <w:rFonts w:ascii="SimHei" w:hAnsi="SimHei" w:eastAsia="SimHei" w:cs="SimHei"/>
          <w:b/>
          <w:bCs/>
          <w:spacing w:val="29"/>
        </w:rPr>
        <w:t>第二十一条【价格协同-竞争挂网</w:t>
      </w:r>
      <w:r>
        <w:rPr>
          <w:rFonts w:ascii="SimSun" w:hAnsi="SimSun" w:eastAsia="SimSun" w:cs="SimSun"/>
          <w:b/>
          <w:bCs/>
          <w:spacing w:val="29"/>
        </w:rPr>
        <w:t>】</w:t>
      </w:r>
      <w:r>
        <w:rPr>
          <w:rFonts w:ascii="SimSun" w:hAnsi="SimSun" w:eastAsia="SimSun" w:cs="SimSun"/>
          <w:spacing w:val="74"/>
        </w:rPr>
        <w:t xml:space="preserve">  </w:t>
      </w:r>
      <w:r>
        <w:rPr>
          <w:spacing w:val="29"/>
        </w:rPr>
        <w:t>短缺易短缺药品有</w:t>
      </w:r>
      <w:r>
        <w:rPr/>
        <w:t xml:space="preserve"> </w:t>
      </w:r>
      <w:r>
        <w:rPr>
          <w:spacing w:val="23"/>
        </w:rPr>
        <w:t>5家及以上企业同时挂网供应，经医疗保障部门</w:t>
      </w:r>
      <w:r>
        <w:rPr>
          <w:spacing w:val="22"/>
        </w:rPr>
        <w:t>函询约谈后部分</w:t>
      </w:r>
      <w:r>
        <w:rPr/>
        <w:t xml:space="preserve"> </w:t>
      </w:r>
      <w:r>
        <w:rPr>
          <w:spacing w:val="28"/>
        </w:rPr>
        <w:t>品牌主动整改降低偏高价格，以首个通过整改的</w:t>
      </w:r>
      <w:r>
        <w:rPr>
          <w:spacing w:val="27"/>
        </w:rPr>
        <w:t>承诺价格为基</w:t>
      </w:r>
      <w:r>
        <w:rPr/>
        <w:t xml:space="preserve"> </w:t>
      </w:r>
      <w:r>
        <w:rPr>
          <w:spacing w:val="12"/>
        </w:rPr>
        <w:t>准，对其他品牌采取限期竞价挂网的方式加强督促引导。</w:t>
      </w:r>
    </w:p>
    <w:p>
      <w:pPr>
        <w:pStyle w:val="BodyText"/>
        <w:ind w:right="127" w:firstLine="610"/>
        <w:spacing w:before="13" w:line="288" w:lineRule="auto"/>
        <w:rPr/>
      </w:pPr>
      <w:r>
        <w:rPr>
          <w:rFonts w:ascii="SimSun" w:hAnsi="SimSun" w:eastAsia="SimSun" w:cs="SimSun"/>
          <w:spacing w:val="12"/>
        </w:rPr>
        <w:t>1.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12"/>
        </w:rPr>
        <w:t>其他品牌重新申报的挂网价格不高于基准的，直接挂网且</w:t>
      </w:r>
      <w:r>
        <w:rPr/>
        <w:t xml:space="preserve"> </w:t>
      </w:r>
      <w:r>
        <w:rPr>
          <w:spacing w:val="6"/>
        </w:rPr>
        <w:t>不作风险警示标识。</w:t>
      </w:r>
    </w:p>
    <w:p>
      <w:pPr>
        <w:pStyle w:val="BodyText"/>
        <w:ind w:right="111" w:firstLine="610"/>
        <w:spacing w:before="244" w:line="311" w:lineRule="auto"/>
        <w:rPr/>
      </w:pPr>
      <w:r>
        <w:rPr>
          <w:rFonts w:ascii="SimSun" w:hAnsi="SimSun" w:eastAsia="SimSun" w:cs="SimSun"/>
          <w:spacing w:val="12"/>
        </w:rPr>
        <w:t>2.</w:t>
      </w:r>
      <w:r>
        <w:rPr>
          <w:rFonts w:ascii="SimSun" w:hAnsi="SimSun" w:eastAsia="SimSun" w:cs="SimSun"/>
          <w:spacing w:val="-17"/>
        </w:rPr>
        <w:t xml:space="preserve"> </w:t>
      </w:r>
      <w:r>
        <w:rPr>
          <w:spacing w:val="12"/>
        </w:rPr>
        <w:t>其他品牌重新申报的挂网价格高于基准的，按照末位淘汰</w:t>
      </w:r>
      <w:r>
        <w:rPr/>
        <w:t xml:space="preserve"> </w:t>
      </w:r>
      <w:r>
        <w:rPr>
          <w:spacing w:val="16"/>
        </w:rPr>
        <w:t>的方式中止其挂网资格。挂网供应企业数量较多的，可参考药品</w:t>
      </w:r>
      <w:r>
        <w:rPr>
          <w:spacing w:val="10"/>
        </w:rPr>
        <w:t xml:space="preserve"> </w:t>
      </w:r>
      <w:r>
        <w:rPr>
          <w:spacing w:val="10"/>
        </w:rPr>
        <w:t>集中带量采购的相关规则提高淘汰力度。</w:t>
      </w:r>
    </w:p>
    <w:p>
      <w:pPr>
        <w:pStyle w:val="BodyText"/>
        <w:ind w:right="124" w:firstLine="610"/>
        <w:spacing w:before="276" w:line="325" w:lineRule="auto"/>
        <w:rPr>
          <w:sz w:val="26"/>
          <w:szCs w:val="26"/>
        </w:rPr>
      </w:pPr>
      <w:r>
        <w:rPr>
          <w:rFonts w:ascii="SimSun" w:hAnsi="SimSun" w:eastAsia="SimSun" w:cs="SimSun"/>
          <w:spacing w:val="37"/>
        </w:rPr>
        <w:t>3.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spacing w:val="37"/>
        </w:rPr>
        <w:t>其他品牌重新申报的挂网价格高于基准，且不属于淘</w:t>
      </w:r>
      <w:r>
        <w:rPr/>
        <w:t xml:space="preserve"> </w:t>
      </w:r>
      <w:r>
        <w:rPr>
          <w:spacing w:val="42"/>
        </w:rPr>
        <w:t>汰范围的，直接挂网时按照第二十条第2-</w:t>
      </w:r>
      <w:r>
        <w:rPr>
          <w:spacing w:val="-83"/>
        </w:rPr>
        <w:t xml:space="preserve"> </w:t>
      </w:r>
      <w:r>
        <w:rPr>
          <w:spacing w:val="42"/>
        </w:rPr>
        <w:t>3项进行价格风险</w:t>
      </w:r>
      <w:r>
        <w:rPr/>
        <w:t xml:space="preserve"> </w:t>
      </w:r>
      <w:r>
        <w:rPr>
          <w:sz w:val="26"/>
          <w:szCs w:val="26"/>
          <w:spacing w:val="-12"/>
        </w:rPr>
        <w:t>警</w:t>
      </w:r>
      <w:r>
        <w:rPr>
          <w:sz w:val="26"/>
          <w:szCs w:val="26"/>
          <w:spacing w:val="-31"/>
        </w:rPr>
        <w:t xml:space="preserve"> </w:t>
      </w:r>
      <w:r>
        <w:rPr>
          <w:sz w:val="26"/>
          <w:szCs w:val="26"/>
          <w:spacing w:val="-12"/>
        </w:rPr>
        <w:t>示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-12"/>
        </w:rPr>
        <w:t>。</w:t>
      </w:r>
    </w:p>
    <w:p>
      <w:pPr>
        <w:pStyle w:val="BodyText"/>
        <w:ind w:left="614"/>
        <w:spacing w:before="253" w:line="220" w:lineRule="auto"/>
        <w:rPr/>
      </w:pPr>
      <w:r>
        <w:rPr>
          <w:rFonts w:ascii="SimHei" w:hAnsi="SimHei" w:eastAsia="SimHei" w:cs="SimHei"/>
          <w:b/>
          <w:bCs/>
          <w:spacing w:val="14"/>
        </w:rPr>
        <w:t>第二十二条【部门协同</w:t>
      </w:r>
      <w:r>
        <w:rPr>
          <w:b/>
          <w:bCs/>
          <w:spacing w:val="14"/>
        </w:rPr>
        <w:t>】</w:t>
      </w:r>
      <w:r>
        <w:rPr>
          <w:spacing w:val="14"/>
        </w:rPr>
        <w:t xml:space="preserve">  </w:t>
      </w:r>
      <w:r>
        <w:rPr>
          <w:spacing w:val="14"/>
        </w:rPr>
        <w:t>各省级医疗保障部门根据工作需</w:t>
      </w:r>
    </w:p>
    <w:p>
      <w:pPr>
        <w:spacing w:line="220" w:lineRule="auto"/>
        <w:sectPr>
          <w:footerReference w:type="default" r:id="rId13"/>
          <w:pgSz w:w="11910" w:h="16840"/>
          <w:pgMar w:top="1431" w:right="1549" w:bottom="1297" w:left="1380" w:header="0" w:footer="908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spacing w:before="97" w:line="222" w:lineRule="auto"/>
        <w:rPr/>
      </w:pPr>
      <w:r>
        <w:rPr>
          <w:spacing w:val="10"/>
        </w:rPr>
        <w:t>要，可依托联动机制、信息贯通机制做好部门协同。</w:t>
      </w:r>
    </w:p>
    <w:p>
      <w:pPr>
        <w:pStyle w:val="BodyText"/>
        <w:ind w:firstLine="479"/>
        <w:spacing w:before="263" w:line="376" w:lineRule="auto"/>
        <w:jc w:val="both"/>
        <w:rPr/>
      </w:pPr>
      <w:r>
        <w:rPr>
          <w:spacing w:val="33"/>
        </w:rPr>
        <w:t>“递补型挂网”的红标短缺易短缺药品，以及“附条件挂</w:t>
      </w:r>
      <w:r>
        <w:rPr>
          <w:spacing w:val="6"/>
        </w:rPr>
        <w:t xml:space="preserve">  </w:t>
      </w:r>
      <w:r>
        <w:rPr>
          <w:spacing w:val="44"/>
        </w:rPr>
        <w:t>网”的短缺易短缺药品企业披露信息按照部门间贯通机制，</w:t>
      </w:r>
      <w:r>
        <w:rPr>
          <w:spacing w:val="5"/>
        </w:rPr>
        <w:t xml:space="preserve"> </w:t>
      </w:r>
      <w:r>
        <w:rPr>
          <w:spacing w:val="40"/>
        </w:rPr>
        <w:t>提供相关部门建议在有关工作中重点关注。处置过程中发现</w:t>
      </w:r>
      <w:r>
        <w:rPr/>
        <w:t xml:space="preserve"> </w:t>
      </w:r>
      <w:r>
        <w:rPr>
          <w:spacing w:val="39"/>
        </w:rPr>
        <w:t>问题线索，涉嫌垄断、不正当竞争、价格违法等的，及时通</w:t>
      </w:r>
      <w:r>
        <w:rPr>
          <w:spacing w:val="8"/>
        </w:rPr>
        <w:t xml:space="preserve"> </w:t>
      </w:r>
      <w:r>
        <w:rPr>
          <w:spacing w:val="39"/>
        </w:rPr>
        <w:t>报或移送市场监管部门。涉嫌虚开发票、虚增销售费用等情</w:t>
      </w:r>
      <w:r>
        <w:rPr>
          <w:spacing w:val="1"/>
        </w:rPr>
        <w:t xml:space="preserve">  </w:t>
      </w:r>
      <w:r>
        <w:rPr>
          <w:spacing w:val="39"/>
        </w:rPr>
        <w:t>形的，及时移送税务部门。涉及上市公司的，及时将有关案</w:t>
      </w:r>
      <w:r>
        <w:rPr>
          <w:spacing w:val="8"/>
        </w:rPr>
        <w:t xml:space="preserve"> </w:t>
      </w:r>
      <w:r>
        <w:rPr>
          <w:spacing w:val="39"/>
        </w:rPr>
        <w:t>件办理进展和结果向证券监管部门进行通报。涉及重大问题</w:t>
      </w:r>
      <w:r>
        <w:rPr>
          <w:spacing w:val="7"/>
        </w:rPr>
        <w:t xml:space="preserve"> </w:t>
      </w:r>
      <w:r>
        <w:rPr>
          <w:spacing w:val="21"/>
        </w:rPr>
        <w:t>线索的，可向审计部门报告。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left="2794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4"/>
        </w:rPr>
        <w:t>第五章</w:t>
      </w:r>
      <w:r>
        <w:rPr>
          <w:rFonts w:ascii="SimHei" w:hAnsi="SimHei" w:eastAsia="SimHei" w:cs="SimHei"/>
          <w:sz w:val="30"/>
          <w:szCs w:val="30"/>
          <w:spacing w:val="43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24"/>
        </w:rPr>
        <w:t>优化服务管理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right="97" w:firstLine="634"/>
        <w:spacing w:before="98" w:line="359" w:lineRule="auto"/>
        <w:rPr>
          <w:sz w:val="26"/>
          <w:szCs w:val="26"/>
        </w:rPr>
      </w:pPr>
      <w:r>
        <w:rPr>
          <w:rFonts w:ascii="SimHei" w:hAnsi="SimHei" w:eastAsia="SimHei" w:cs="SimHei"/>
          <w:b/>
          <w:bCs/>
          <w:spacing w:val="11"/>
        </w:rPr>
        <w:t>第二十三条【提前报告</w:t>
      </w:r>
      <w:r>
        <w:rPr>
          <w:b/>
          <w:bCs/>
          <w:spacing w:val="11"/>
        </w:rPr>
        <w:t>】</w:t>
      </w:r>
      <w:r>
        <w:rPr>
          <w:spacing w:val="48"/>
        </w:rPr>
        <w:t xml:space="preserve">  </w:t>
      </w:r>
      <w:r>
        <w:rPr>
          <w:spacing w:val="11"/>
        </w:rPr>
        <w:t>上市许可持有人根据生产经营状</w:t>
      </w:r>
      <w:r>
        <w:rPr>
          <w:spacing w:val="1"/>
        </w:rPr>
        <w:t xml:space="preserve"> </w:t>
      </w:r>
      <w:r>
        <w:rPr>
          <w:spacing w:val="15"/>
        </w:rPr>
        <w:t>况研判短缺易短缺药品因经济因素可能难以保障供应，无法逆转</w:t>
      </w:r>
      <w:r>
        <w:rPr>
          <w:spacing w:val="2"/>
        </w:rPr>
        <w:t xml:space="preserve"> </w:t>
      </w:r>
      <w:r>
        <w:rPr>
          <w:spacing w:val="16"/>
        </w:rPr>
        <w:t>或缓解，确有必要按照超过全网现有挂网价格的水平涨价或变相</w:t>
      </w:r>
      <w:r>
        <w:rPr>
          <w:spacing w:val="3"/>
        </w:rPr>
        <w:t xml:space="preserve"> </w:t>
      </w:r>
      <w:r>
        <w:rPr>
          <w:spacing w:val="16"/>
        </w:rPr>
        <w:t>涨价新申报挂网的，原则上在正式申报前一个月向省级医药</w:t>
      </w:r>
      <w:r>
        <w:rPr>
          <w:spacing w:val="15"/>
        </w:rPr>
        <w:t>集中</w:t>
      </w:r>
      <w:r>
        <w:rPr/>
        <w:t xml:space="preserve"> </w:t>
      </w:r>
      <w:r>
        <w:rPr>
          <w:spacing w:val="16"/>
        </w:rPr>
        <w:t>采购机构提出，主动沟通交流情况，就直接挂网的操作细</w:t>
      </w:r>
      <w:r>
        <w:rPr>
          <w:spacing w:val="15"/>
        </w:rPr>
        <w:t>节等问</w:t>
      </w:r>
      <w:r>
        <w:rPr/>
        <w:t xml:space="preserve"> </w:t>
      </w:r>
      <w:r>
        <w:rPr>
          <w:spacing w:val="15"/>
        </w:rPr>
        <w:t>题接受窗口指导，相互配合，提高短缺易短缺药品直接挂网</w:t>
      </w:r>
      <w:r>
        <w:rPr>
          <w:spacing w:val="14"/>
        </w:rPr>
        <w:t>的工</w:t>
      </w:r>
      <w:r>
        <w:rPr/>
        <w:t xml:space="preserve"> </w:t>
      </w:r>
      <w:r>
        <w:rPr>
          <w:sz w:val="26"/>
          <w:szCs w:val="26"/>
          <w:spacing w:val="25"/>
        </w:rPr>
        <w:t>作效率</w:t>
      </w:r>
      <w:r>
        <w:rPr>
          <w:sz w:val="26"/>
          <w:szCs w:val="26"/>
          <w:spacing w:val="-67"/>
        </w:rPr>
        <w:t xml:space="preserve"> </w:t>
      </w:r>
      <w:r>
        <w:rPr>
          <w:sz w:val="26"/>
          <w:szCs w:val="26"/>
          <w:spacing w:val="25"/>
        </w:rPr>
        <w:t>。</w:t>
      </w:r>
    </w:p>
    <w:p>
      <w:pPr>
        <w:pStyle w:val="BodyText"/>
        <w:ind w:right="112" w:firstLine="634"/>
        <w:spacing w:before="309" w:line="324" w:lineRule="auto"/>
        <w:rPr/>
      </w:pPr>
      <w:r>
        <w:rPr>
          <w:rFonts w:ascii="SimHei" w:hAnsi="SimHei" w:eastAsia="SimHei" w:cs="SimHei"/>
          <w:b/>
          <w:bCs/>
          <w:spacing w:val="10"/>
        </w:rPr>
        <w:t>第二十四条【受理响应</w:t>
      </w:r>
      <w:r>
        <w:rPr>
          <w:b/>
          <w:bCs/>
          <w:spacing w:val="10"/>
        </w:rPr>
        <w:t>】</w:t>
      </w:r>
      <w:r>
        <w:rPr>
          <w:spacing w:val="58"/>
        </w:rPr>
        <w:t xml:space="preserve">  </w:t>
      </w:r>
      <w:r>
        <w:rPr>
          <w:spacing w:val="10"/>
        </w:rPr>
        <w:t>除省级联动机制牵</w:t>
      </w:r>
      <w:r>
        <w:rPr>
          <w:spacing w:val="9"/>
        </w:rPr>
        <w:t>头部门要求应</w:t>
      </w:r>
      <w:r>
        <w:rPr>
          <w:spacing w:val="1"/>
        </w:rPr>
        <w:t xml:space="preserve"> </w:t>
      </w:r>
      <w:r>
        <w:rPr>
          <w:spacing w:val="27"/>
        </w:rPr>
        <w:t>急处理的短缺易短缺药品外，上市许可持有人应选择有供应记</w:t>
      </w:r>
      <w:r>
        <w:rPr>
          <w:spacing w:val="7"/>
        </w:rPr>
        <w:t xml:space="preserve"> </w:t>
      </w:r>
      <w:r>
        <w:rPr>
          <w:spacing w:val="10"/>
        </w:rPr>
        <w:t>录、市场份额靠前的省份作为申报首涨的省份。</w:t>
      </w:r>
    </w:p>
    <w:p>
      <w:pPr>
        <w:spacing w:line="324" w:lineRule="auto"/>
        <w:sectPr>
          <w:footerReference w:type="default" r:id="rId14"/>
          <w:pgSz w:w="11910" w:h="16840"/>
          <w:pgMar w:top="1431" w:right="1229" w:bottom="1427" w:left="1730" w:header="0" w:footer="1038" w:gutter="0"/>
        </w:sectPr>
        <w:rPr/>
      </w:pP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right="120" w:firstLine="600"/>
        <w:spacing w:before="98" w:line="362" w:lineRule="auto"/>
        <w:rPr/>
      </w:pPr>
      <w:r>
        <w:rPr>
          <w:spacing w:val="16"/>
        </w:rPr>
        <w:t>省级医药集中采购机构收到企业申报应积极响应，强化经办</w:t>
      </w:r>
      <w:r>
        <w:rPr>
          <w:spacing w:val="12"/>
        </w:rPr>
        <w:t xml:space="preserve"> </w:t>
      </w:r>
      <w:r>
        <w:rPr>
          <w:spacing w:val="11"/>
        </w:rPr>
        <w:t>内控，不得以本地挂网规则为由推诿拒绝，</w:t>
      </w:r>
      <w:r>
        <w:rPr>
          <w:spacing w:val="10"/>
        </w:rPr>
        <w:t>及时规范办理申报。</w:t>
      </w:r>
    </w:p>
    <w:p>
      <w:pPr>
        <w:pStyle w:val="BodyText"/>
        <w:ind w:right="95" w:firstLine="604"/>
        <w:spacing w:before="3" w:line="340" w:lineRule="auto"/>
        <w:rPr/>
      </w:pPr>
      <w:r>
        <w:rPr>
          <w:rFonts w:ascii="SimHei" w:hAnsi="SimHei" w:eastAsia="SimHei" w:cs="SimHei"/>
          <w:b/>
          <w:bCs/>
          <w:spacing w:val="14"/>
        </w:rPr>
        <w:t>第二十五条【前置审核</w:t>
      </w:r>
      <w:r>
        <w:rPr>
          <w:b/>
          <w:bCs/>
          <w:spacing w:val="14"/>
        </w:rPr>
        <w:t>】</w:t>
      </w:r>
      <w:r>
        <w:rPr>
          <w:spacing w:val="14"/>
        </w:rPr>
        <w:t xml:space="preserve">  </w:t>
      </w:r>
      <w:r>
        <w:rPr>
          <w:spacing w:val="14"/>
        </w:rPr>
        <w:t>省级医药集中采购机构将“直通</w:t>
      </w:r>
      <w:r>
        <w:rPr>
          <w:spacing w:val="5"/>
        </w:rPr>
        <w:t xml:space="preserve"> </w:t>
      </w:r>
      <w:r>
        <w:rPr>
          <w:spacing w:val="27"/>
        </w:rPr>
        <w:t>型挂网”等监测规则直接嵌入医保信息平台中，企业申报挂网</w:t>
      </w:r>
      <w:r>
        <w:rPr>
          <w:spacing w:val="14"/>
        </w:rPr>
        <w:t xml:space="preserve"> </w:t>
      </w:r>
      <w:r>
        <w:rPr>
          <w:spacing w:val="15"/>
        </w:rPr>
        <w:t>时，前置判断价格风险。若不满足条件，企业在平台中无法自主</w:t>
      </w:r>
      <w:r>
        <w:rPr>
          <w:spacing w:val="4"/>
        </w:rPr>
        <w:t xml:space="preserve"> </w:t>
      </w:r>
      <w:r>
        <w:rPr>
          <w:spacing w:val="14"/>
        </w:rPr>
        <w:t>录入，同时弹窗提醒报价异常，引导企业主动向当地省级医保部</w:t>
      </w:r>
      <w:r>
        <w:rPr>
          <w:spacing w:val="13"/>
        </w:rPr>
        <w:t xml:space="preserve"> </w:t>
      </w:r>
      <w:r>
        <w:rPr>
          <w:spacing w:val="16"/>
        </w:rPr>
        <w:t>门申请沟通交流，进行“递补型挂网”“附条件挂网”流程，否</w:t>
      </w:r>
      <w:r>
        <w:rPr>
          <w:spacing w:val="5"/>
        </w:rPr>
        <w:t xml:space="preserve"> </w:t>
      </w:r>
      <w:r>
        <w:rPr>
          <w:spacing w:val="1"/>
        </w:rPr>
        <w:t>则不予挂网。</w:t>
      </w:r>
    </w:p>
    <w:p>
      <w:pPr>
        <w:pStyle w:val="BodyText"/>
        <w:ind w:right="100" w:firstLine="604"/>
        <w:spacing w:before="240" w:line="297" w:lineRule="auto"/>
        <w:rPr/>
      </w:pPr>
      <w:r>
        <w:rPr>
          <w:rFonts w:ascii="SimHei" w:hAnsi="SimHei" w:eastAsia="SimHei" w:cs="SimHei"/>
          <w:b/>
          <w:bCs/>
          <w:spacing w:val="15"/>
        </w:rPr>
        <w:t>第二十六条【首涨挂网</w:t>
      </w:r>
      <w:r>
        <w:rPr>
          <w:b/>
          <w:bCs/>
          <w:spacing w:val="15"/>
        </w:rPr>
        <w:t>】</w:t>
      </w:r>
      <w:r>
        <w:rPr>
          <w:spacing w:val="15"/>
        </w:rPr>
        <w:t xml:space="preserve">  </w:t>
      </w:r>
      <w:r>
        <w:rPr>
          <w:spacing w:val="15"/>
        </w:rPr>
        <w:t>首涨省认真履行短缺易短缺药品</w:t>
      </w:r>
      <w:r>
        <w:rPr>
          <w:spacing w:val="4"/>
        </w:rPr>
        <w:t xml:space="preserve"> </w:t>
      </w:r>
      <w:r>
        <w:rPr>
          <w:spacing w:val="9"/>
        </w:rPr>
        <w:t>涨价挂网的价格风险管理牵头责任，包括：</w:t>
      </w:r>
    </w:p>
    <w:p>
      <w:pPr>
        <w:pStyle w:val="BodyText"/>
        <w:ind w:left="600"/>
        <w:spacing w:before="206" w:line="222" w:lineRule="auto"/>
        <w:rPr/>
      </w:pPr>
      <w:r>
        <w:rPr>
          <w:rFonts w:ascii="SimSun" w:hAnsi="SimSun" w:eastAsia="SimSun" w:cs="SimSun"/>
          <w:spacing w:val="9"/>
        </w:rPr>
        <w:t>1.</w:t>
      </w:r>
      <w:r>
        <w:rPr>
          <w:rFonts w:ascii="SimSun" w:hAnsi="SimSun" w:eastAsia="SimSun" w:cs="SimSun"/>
          <w:spacing w:val="-52"/>
        </w:rPr>
        <w:t xml:space="preserve"> </w:t>
      </w:r>
      <w:r>
        <w:rPr>
          <w:spacing w:val="9"/>
        </w:rPr>
        <w:t>复核企业披露的信息，研判价格风险；</w:t>
      </w:r>
    </w:p>
    <w:p>
      <w:pPr>
        <w:pStyle w:val="BodyText"/>
        <w:ind w:left="600"/>
        <w:spacing w:before="242" w:line="222" w:lineRule="auto"/>
        <w:rPr/>
      </w:pPr>
      <w:r>
        <w:rPr>
          <w:rFonts w:ascii="SimSun" w:hAnsi="SimSun" w:eastAsia="SimSun" w:cs="SimSun"/>
          <w:spacing w:val="7"/>
        </w:rPr>
        <w:t>2.</w:t>
      </w:r>
      <w:r>
        <w:rPr>
          <w:rFonts w:ascii="SimSun" w:hAnsi="SimSun" w:eastAsia="SimSun" w:cs="SimSun"/>
          <w:spacing w:val="-36"/>
        </w:rPr>
        <w:t xml:space="preserve"> </w:t>
      </w:r>
      <w:r>
        <w:rPr>
          <w:spacing w:val="7"/>
        </w:rPr>
        <w:t>引导企业主动排除价格风险。</w:t>
      </w:r>
    </w:p>
    <w:p>
      <w:pPr>
        <w:pStyle w:val="BodyText"/>
        <w:ind w:right="91" w:firstLine="600"/>
        <w:spacing w:before="237" w:line="290" w:lineRule="auto"/>
        <w:rPr/>
      </w:pPr>
      <w:r>
        <w:rPr>
          <w:rFonts w:ascii="SimSun" w:hAnsi="SimSun" w:eastAsia="SimSun" w:cs="SimSun"/>
          <w:spacing w:val="13"/>
        </w:rPr>
        <w:t>3.</w:t>
      </w:r>
      <w:r>
        <w:rPr>
          <w:rFonts w:ascii="SimSun" w:hAnsi="SimSun" w:eastAsia="SimSun" w:cs="SimSun"/>
          <w:spacing w:val="-42"/>
        </w:rPr>
        <w:t xml:space="preserve"> </w:t>
      </w:r>
      <w:r>
        <w:rPr>
          <w:spacing w:val="13"/>
        </w:rPr>
        <w:t>对照指引采取“直通型挂网”“递补型挂网”“附条</w:t>
      </w:r>
      <w:r>
        <w:rPr>
          <w:spacing w:val="12"/>
        </w:rPr>
        <w:t>件挂</w:t>
      </w:r>
      <w:r>
        <w:rPr/>
        <w:t xml:space="preserve"> </w:t>
      </w:r>
      <w:r>
        <w:rPr>
          <w:spacing w:val="10"/>
        </w:rPr>
        <w:t>网”等方式直接挂网，引导监督企业公平定价，防范价格风险。</w:t>
      </w:r>
    </w:p>
    <w:p>
      <w:pPr>
        <w:pStyle w:val="BodyText"/>
        <w:ind w:right="106" w:firstLine="604"/>
        <w:spacing w:before="254" w:line="324" w:lineRule="auto"/>
        <w:rPr/>
      </w:pPr>
      <w:r>
        <w:rPr>
          <w:rFonts w:ascii="SimHei" w:hAnsi="SimHei" w:eastAsia="SimHei" w:cs="SimHei"/>
          <w:b/>
          <w:bCs/>
          <w:spacing w:val="23"/>
        </w:rPr>
        <w:t>第二十七条【信息共享】</w:t>
      </w:r>
      <w:r>
        <w:rPr>
          <w:rFonts w:ascii="SimHei" w:hAnsi="SimHei" w:eastAsia="SimHei" w:cs="SimHei"/>
          <w:spacing w:val="63"/>
        </w:rPr>
        <w:t xml:space="preserve">  </w:t>
      </w:r>
      <w:r>
        <w:rPr>
          <w:spacing w:val="23"/>
        </w:rPr>
        <w:t>首涨省办理短缺易短缺药品挂</w:t>
      </w:r>
      <w:r>
        <w:rPr/>
        <w:t xml:space="preserve"> </w:t>
      </w:r>
      <w:r>
        <w:rPr>
          <w:spacing w:val="15"/>
        </w:rPr>
        <w:t>网，或处置短缺易短缺药品价格风险，应及时通过医保信息平台</w:t>
      </w:r>
      <w:r>
        <w:rPr>
          <w:spacing w:val="18"/>
        </w:rPr>
        <w:t xml:space="preserve"> </w:t>
      </w:r>
      <w:r>
        <w:rPr>
          <w:spacing w:val="5"/>
        </w:rPr>
        <w:t>更新信息、全国共享，并注明“直通型挂网”“递补型挂网</w:t>
      </w:r>
      <w:r>
        <w:rPr>
          <w:spacing w:val="4"/>
        </w:rPr>
        <w:t>”“附</w:t>
      </w:r>
      <w:r>
        <w:rPr/>
        <w:t xml:space="preserve"> </w:t>
      </w:r>
      <w:r>
        <w:rPr>
          <w:spacing w:val="8"/>
        </w:rPr>
        <w:t>条件挂网”等分类标识。</w:t>
      </w:r>
    </w:p>
    <w:p>
      <w:pPr>
        <w:pStyle w:val="BodyText"/>
        <w:ind w:firstLine="604"/>
        <w:spacing w:before="236" w:line="328" w:lineRule="auto"/>
        <w:rPr/>
      </w:pPr>
      <w:r>
        <w:rPr>
          <w:rFonts w:ascii="SimHei" w:hAnsi="SimHei" w:eastAsia="SimHei" w:cs="SimHei"/>
          <w:b/>
          <w:bCs/>
          <w:spacing w:val="19"/>
        </w:rPr>
        <w:t>第二十八条【联动挂网】</w:t>
      </w:r>
      <w:r>
        <w:rPr>
          <w:rFonts w:ascii="SimHei" w:hAnsi="SimHei" w:eastAsia="SimHei" w:cs="SimHei"/>
          <w:spacing w:val="19"/>
        </w:rPr>
        <w:t xml:space="preserve">  </w:t>
      </w:r>
      <w:r>
        <w:rPr>
          <w:spacing w:val="19"/>
        </w:rPr>
        <w:t>对于国家“两个清单”</w:t>
      </w:r>
      <w:r>
        <w:rPr>
          <w:spacing w:val="18"/>
        </w:rPr>
        <w:t>内药品，</w:t>
      </w:r>
      <w:r>
        <w:rPr/>
        <w:t xml:space="preserve"> </w:t>
      </w:r>
      <w:r>
        <w:rPr>
          <w:spacing w:val="39"/>
        </w:rPr>
        <w:t>企业向首涨省之外的其他省份申报挂网，申报价格不高于首</w:t>
      </w:r>
      <w:r>
        <w:rPr>
          <w:spacing w:val="8"/>
        </w:rPr>
        <w:t xml:space="preserve"> </w:t>
      </w:r>
      <w:r>
        <w:rPr>
          <w:spacing w:val="44"/>
        </w:rPr>
        <w:t>涨省的，当地医药集中采购机构可开辟绿色通道直接挂网。</w:t>
      </w:r>
      <w:r>
        <w:rPr>
          <w:spacing w:val="4"/>
        </w:rPr>
        <w:t xml:space="preserve"> </w:t>
      </w:r>
      <w:r>
        <w:rPr>
          <w:spacing w:val="26"/>
        </w:rPr>
        <w:t>涉及“递补型挂网”“附条件挂网”的，就低参考首涨省办理</w:t>
      </w:r>
    </w:p>
    <w:p>
      <w:pPr>
        <w:spacing w:line="328" w:lineRule="auto"/>
        <w:sectPr>
          <w:footerReference w:type="default" r:id="rId15"/>
          <w:pgSz w:w="11910" w:h="16840"/>
          <w:pgMar w:top="1431" w:right="1560" w:bottom="1307" w:left="1400" w:header="0" w:footer="918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right="38"/>
        <w:spacing w:before="98" w:line="376" w:lineRule="auto"/>
        <w:jc w:val="both"/>
        <w:rPr/>
      </w:pPr>
      <w:r>
        <w:rPr>
          <w:spacing w:val="39"/>
        </w:rPr>
        <w:t>结果处理。对于省级增补“两个清单”内药品，企业向首涨</w:t>
      </w:r>
      <w:r>
        <w:rPr>
          <w:spacing w:val="3"/>
        </w:rPr>
        <w:t xml:space="preserve"> </w:t>
      </w:r>
      <w:r>
        <w:rPr>
          <w:spacing w:val="39"/>
        </w:rPr>
        <w:t>省之外的其他增补该药品进清单省份申报挂网的，就低参考</w:t>
      </w:r>
      <w:r>
        <w:rPr>
          <w:spacing w:val="4"/>
        </w:rPr>
        <w:t xml:space="preserve"> </w:t>
      </w:r>
      <w:r>
        <w:rPr>
          <w:spacing w:val="39"/>
        </w:rPr>
        <w:t>首涨省份办理结果，按照直接挂网全流程办理；企业向首涨</w:t>
      </w:r>
      <w:r>
        <w:rPr>
          <w:spacing w:val="3"/>
        </w:rPr>
        <w:t xml:space="preserve"> </w:t>
      </w:r>
      <w:r>
        <w:rPr>
          <w:spacing w:val="39"/>
        </w:rPr>
        <w:t>省之外的未增补该药品进清单省份申报挂网的，按照普通药</w:t>
      </w:r>
      <w:r>
        <w:rPr>
          <w:spacing w:val="7"/>
        </w:rPr>
        <w:t xml:space="preserve"> </w:t>
      </w:r>
      <w:r>
        <w:rPr>
          <w:spacing w:val="17"/>
        </w:rPr>
        <w:t>品挂网流程办理。</w:t>
      </w:r>
    </w:p>
    <w:p>
      <w:pPr>
        <w:pStyle w:val="BodyText"/>
        <w:ind w:firstLine="639"/>
        <w:spacing w:before="21" w:line="385" w:lineRule="auto"/>
        <w:jc w:val="both"/>
        <w:rPr>
          <w:sz w:val="25"/>
          <w:szCs w:val="25"/>
        </w:rPr>
      </w:pPr>
      <w:r>
        <w:rPr>
          <w:spacing w:val="15"/>
        </w:rPr>
        <w:t>其他省份按照高于首涨省的价格受理企业申报的，自动成为</w:t>
      </w:r>
      <w:r>
        <w:rPr>
          <w:spacing w:val="13"/>
        </w:rPr>
        <w:t xml:space="preserve"> </w:t>
      </w:r>
      <w:r>
        <w:rPr>
          <w:spacing w:val="16"/>
        </w:rPr>
        <w:t>新的首涨省，牵头履行资料审核、风险研判、处</w:t>
      </w:r>
      <w:r>
        <w:rPr>
          <w:spacing w:val="15"/>
        </w:rPr>
        <w:t>置应对等全过程</w:t>
      </w:r>
      <w:r>
        <w:rPr/>
        <w:t xml:space="preserve"> </w:t>
      </w:r>
      <w:r>
        <w:rPr>
          <w:spacing w:val="16"/>
        </w:rPr>
        <w:t>责任，距离原首涨省完成挂网不足两年的，新首涨省受理时，研</w:t>
      </w:r>
      <w:r>
        <w:rPr>
          <w:spacing w:val="12"/>
        </w:rPr>
        <w:t xml:space="preserve"> </w:t>
      </w:r>
      <w:r>
        <w:rPr>
          <w:spacing w:val="39"/>
        </w:rPr>
        <w:t>判挂网条件、价格风险所引用的比价锚点应与原首涨省保持</w:t>
      </w:r>
      <w:r>
        <w:rPr>
          <w:spacing w:val="3"/>
        </w:rPr>
        <w:t xml:space="preserve"> </w:t>
      </w:r>
      <w:r>
        <w:rPr>
          <w:sz w:val="25"/>
          <w:szCs w:val="25"/>
          <w:spacing w:val="-14"/>
        </w:rPr>
        <w:t>一</w:t>
      </w:r>
      <w:r>
        <w:rPr>
          <w:sz w:val="25"/>
          <w:szCs w:val="25"/>
          <w:spacing w:val="-26"/>
        </w:rPr>
        <w:t xml:space="preserve"> </w:t>
      </w:r>
      <w:r>
        <w:rPr>
          <w:sz w:val="25"/>
          <w:szCs w:val="25"/>
          <w:spacing w:val="-14"/>
        </w:rPr>
        <w:t>致</w:t>
      </w:r>
      <w:r>
        <w:rPr>
          <w:sz w:val="25"/>
          <w:szCs w:val="25"/>
          <w:spacing w:val="-45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pStyle w:val="BodyText"/>
        <w:ind w:right="2" w:firstLine="644"/>
        <w:spacing w:before="45" w:line="376" w:lineRule="auto"/>
        <w:jc w:val="both"/>
        <w:rPr/>
      </w:pPr>
      <w:r>
        <w:rPr>
          <w:rFonts w:ascii="SimHei" w:hAnsi="SimHei" w:eastAsia="SimHei" w:cs="SimHei"/>
          <w:b/>
          <w:bCs/>
          <w:spacing w:val="14"/>
        </w:rPr>
        <w:t>第二十九条【货款结算</w:t>
      </w:r>
      <w:r>
        <w:rPr>
          <w:b/>
          <w:bCs/>
          <w:spacing w:val="14"/>
        </w:rPr>
        <w:t>】</w:t>
      </w:r>
      <w:r>
        <w:rPr>
          <w:spacing w:val="14"/>
        </w:rPr>
        <w:t xml:space="preserve">  </w:t>
      </w:r>
      <w:r>
        <w:rPr>
          <w:spacing w:val="14"/>
        </w:rPr>
        <w:t>省级医疗保障部门探索医保直接</w:t>
      </w:r>
      <w:r>
        <w:rPr/>
        <w:t xml:space="preserve"> </w:t>
      </w:r>
      <w:r>
        <w:rPr>
          <w:spacing w:val="16"/>
        </w:rPr>
        <w:t>结算货款的，优先考虑将近两年未发生价格</w:t>
      </w:r>
      <w:r>
        <w:rPr>
          <w:spacing w:val="15"/>
        </w:rPr>
        <w:t>变动且供应情况稳定</w:t>
      </w:r>
      <w:r>
        <w:rPr/>
        <w:t xml:space="preserve"> </w:t>
      </w:r>
      <w:r>
        <w:rPr>
          <w:spacing w:val="15"/>
        </w:rPr>
        <w:t>的短缺易短缺药品，或者按照“直通型挂网”办理价格调整的短</w:t>
      </w:r>
      <w:r>
        <w:rPr>
          <w:spacing w:val="1"/>
        </w:rPr>
        <w:t xml:space="preserve"> </w:t>
      </w:r>
      <w:r>
        <w:rPr>
          <w:spacing w:val="9"/>
        </w:rPr>
        <w:t>缺易短缺药品纳入直接结算范围。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left="3114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第六章</w:t>
      </w:r>
      <w:r>
        <w:rPr>
          <w:rFonts w:ascii="SimHei" w:hAnsi="SimHei" w:eastAsia="SimHei" w:cs="SimHei"/>
          <w:sz w:val="30"/>
          <w:szCs w:val="30"/>
          <w:spacing w:val="45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附</w:t>
      </w:r>
      <w:r>
        <w:rPr>
          <w:rFonts w:ascii="SimHei" w:hAnsi="SimHei" w:eastAsia="SimHei" w:cs="SimHei"/>
          <w:sz w:val="30"/>
          <w:szCs w:val="30"/>
          <w:spacing w:val="34"/>
        </w:rPr>
        <w:t xml:space="preserve">    </w:t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则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right="10" w:firstLine="644"/>
        <w:spacing w:before="98" w:line="305" w:lineRule="auto"/>
        <w:rPr/>
      </w:pPr>
      <w:r>
        <w:rPr>
          <w:rFonts w:ascii="SimHei" w:hAnsi="SimHei" w:eastAsia="SimHei" w:cs="SimHei"/>
          <w:b/>
          <w:bCs/>
          <w:spacing w:val="14"/>
        </w:rPr>
        <w:t>第三十条【职责分工</w:t>
      </w:r>
      <w:r>
        <w:rPr>
          <w:b/>
          <w:bCs/>
          <w:spacing w:val="14"/>
        </w:rPr>
        <w:t>】</w:t>
      </w:r>
      <w:r>
        <w:rPr>
          <w:spacing w:val="14"/>
        </w:rPr>
        <w:t xml:space="preserve">  </w:t>
      </w:r>
      <w:r>
        <w:rPr>
          <w:spacing w:val="14"/>
        </w:rPr>
        <w:t>各省短缺药品价格的风</w:t>
      </w:r>
      <w:r>
        <w:rPr>
          <w:spacing w:val="13"/>
        </w:rPr>
        <w:t>险管理由医</w:t>
      </w:r>
      <w:r>
        <w:rPr/>
        <w:t xml:space="preserve"> </w:t>
      </w:r>
      <w:r>
        <w:rPr>
          <w:spacing w:val="10"/>
        </w:rPr>
        <w:t>疗保障局和医药集中采购机构按照职责分工负</w:t>
      </w:r>
      <w:r>
        <w:rPr>
          <w:spacing w:val="9"/>
        </w:rPr>
        <w:t>责。</w:t>
      </w:r>
    </w:p>
    <w:p>
      <w:pPr>
        <w:pStyle w:val="BodyText"/>
        <w:ind w:right="2" w:firstLine="644"/>
        <w:spacing w:before="239" w:line="302" w:lineRule="auto"/>
        <w:rPr/>
      </w:pPr>
      <w:r>
        <w:rPr>
          <w:b/>
          <w:bCs/>
          <w:spacing w:val="23"/>
        </w:rPr>
        <w:t>第三十一条【生效和解释】</w:t>
      </w:r>
      <w:r>
        <w:rPr>
          <w:spacing w:val="23"/>
        </w:rPr>
        <w:t xml:space="preserve">  </w:t>
      </w:r>
      <w:r>
        <w:rPr>
          <w:spacing w:val="23"/>
        </w:rPr>
        <w:t>本操作指引自2025年1月1日</w:t>
      </w:r>
      <w:r>
        <w:rPr>
          <w:spacing w:val="8"/>
        </w:rPr>
        <w:t xml:space="preserve"> </w:t>
      </w:r>
      <w:r>
        <w:rPr>
          <w:spacing w:val="10"/>
        </w:rPr>
        <w:t>起施行，由国家医疗保障局负责解释。</w:t>
      </w:r>
    </w:p>
    <w:p>
      <w:pPr>
        <w:spacing w:line="302" w:lineRule="auto"/>
        <w:sectPr>
          <w:footerReference w:type="default" r:id="rId16"/>
          <w:pgSz w:w="11910" w:h="16840"/>
          <w:pgMar w:top="1431" w:right="1298" w:bottom="1427" w:left="1750" w:header="0" w:footer="1038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247"/>
        <w:spacing w:before="98" w:line="222" w:lineRule="auto"/>
        <w:rPr/>
      </w:pPr>
      <w:r>
        <w:rPr>
          <w:b/>
          <w:bCs/>
          <w:spacing w:val="11"/>
        </w:rPr>
        <w:t>附件：1.短缺药品直接挂网流程图</w:t>
      </w:r>
    </w:p>
    <w:p>
      <w:pPr>
        <w:pStyle w:val="BodyText"/>
        <w:ind w:left="1157"/>
        <w:spacing w:before="249" w:line="222" w:lineRule="auto"/>
        <w:outlineLvl w:val="2"/>
        <w:rPr/>
      </w:pPr>
      <w:r>
        <w:rPr>
          <w:rFonts w:ascii="SimSun" w:hAnsi="SimSun" w:eastAsia="SimSun" w:cs="SimSun"/>
          <w:b/>
          <w:bCs/>
          <w:spacing w:val="5"/>
        </w:rPr>
        <w:t>2.</w:t>
      </w:r>
      <w:r>
        <w:rPr>
          <w:rFonts w:ascii="SimSun" w:hAnsi="SimSun" w:eastAsia="SimSun" w:cs="SimSun"/>
          <w:spacing w:val="-22"/>
        </w:rPr>
        <w:t xml:space="preserve"> </w:t>
      </w:r>
      <w:r>
        <w:rPr>
          <w:b/>
          <w:bCs/>
          <w:spacing w:val="5"/>
        </w:rPr>
        <w:t>药品生产经营情况和价格构成情况表</w:t>
      </w:r>
    </w:p>
    <w:p>
      <w:pPr>
        <w:spacing w:line="222" w:lineRule="auto"/>
        <w:sectPr>
          <w:footerReference w:type="default" r:id="rId17"/>
          <w:pgSz w:w="11910" w:h="16840"/>
          <w:pgMar w:top="1431" w:right="1786" w:bottom="1307" w:left="1786" w:header="0" w:footer="918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6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4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1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2161"/>
        <w:spacing w:before="133" w:line="220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2"/>
        </w:rPr>
        <w:t>短缺药品直接挂网流程图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3785"/>
        <w:spacing w:before="42"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14"/>
        </w:rPr>
        <w:t>企业提前与医保部门沟通</w:t>
      </w:r>
    </w:p>
    <w:p>
      <w:pPr>
        <w:spacing w:before="225"/>
        <w:rPr/>
      </w:pPr>
      <w:r/>
    </w:p>
    <w:p>
      <w:pPr>
        <w:sectPr>
          <w:headerReference w:type="default" r:id="rId18"/>
          <w:footerReference w:type="default" r:id="rId19"/>
          <w:pgSz w:w="11910" w:h="16840"/>
          <w:pgMar w:top="400" w:right="1786" w:bottom="1447" w:left="1744" w:header="0" w:footer="1058" w:gutter="0"/>
          <w:cols w:equalWidth="0" w:num="1">
            <w:col w:w="8380" w:space="0"/>
          </w:cols>
        </w:sectPr>
        <w:rPr/>
      </w:pPr>
    </w:p>
    <w:p>
      <w:pPr>
        <w:ind w:left="714" w:right="1935" w:hanging="64"/>
        <w:spacing w:before="26" w:line="227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4"/>
        </w:rPr>
        <w:t>【直接挂网条件审核】</w:t>
      </w:r>
      <w:r>
        <w:rPr>
          <w:rFonts w:ascii="SimHei" w:hAnsi="SimHei" w:eastAsia="SimHei" w:cs="SimHei"/>
          <w:sz w:val="13"/>
          <w:szCs w:val="13"/>
          <w:spacing w:val="8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3"/>
        </w:rPr>
        <w:t>满足以下条件任一：</w:t>
      </w:r>
    </w:p>
    <w:p>
      <w:pPr>
        <w:ind w:left="715"/>
        <w:spacing w:line="221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6"/>
        </w:rPr>
        <w:t>1、</w:t>
      </w:r>
      <w:r>
        <w:rPr>
          <w:rFonts w:ascii="SimHei" w:hAnsi="SimHei" w:eastAsia="SimHei" w:cs="SimHei"/>
          <w:sz w:val="13"/>
          <w:szCs w:val="13"/>
          <w:spacing w:val="6"/>
        </w:rPr>
        <w:t>短缺药品</w:t>
      </w:r>
    </w:p>
    <w:p>
      <w:pPr>
        <w:ind w:left="715" w:right="874"/>
        <w:spacing w:before="13" w:line="225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3"/>
        </w:rPr>
        <w:t>2、</w:t>
      </w:r>
      <w:r>
        <w:rPr>
          <w:rFonts w:ascii="SimHei" w:hAnsi="SimHei" w:eastAsia="SimHei" w:cs="SimHei"/>
          <w:sz w:val="13"/>
          <w:szCs w:val="13"/>
          <w:spacing w:val="3"/>
        </w:rPr>
        <w:t>本省平台同品种所有厂牌配送率连续</w:t>
      </w:r>
      <w:r>
        <w:rPr>
          <w:rFonts w:ascii="SimHei" w:hAnsi="SimHei" w:eastAsia="SimHei" w:cs="SimHei"/>
          <w:sz w:val="13"/>
          <w:szCs w:val="13"/>
          <w:spacing w:val="15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9"/>
        </w:rPr>
        <w:t>3个月低于10%的易短缺药品</w:t>
      </w:r>
    </w:p>
    <w:p>
      <w:pPr>
        <w:ind w:left="715" w:right="871"/>
        <w:spacing w:before="14" w:line="233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4"/>
        </w:rPr>
        <w:t>3、</w:t>
      </w:r>
      <w:r>
        <w:rPr>
          <w:rFonts w:ascii="SimHei" w:hAnsi="SimHei" w:eastAsia="SimHei" w:cs="SimHei"/>
          <w:sz w:val="13"/>
          <w:szCs w:val="13"/>
          <w:spacing w:val="4"/>
        </w:rPr>
        <w:t>联动机制牵头部门要求应急处理的清</w:t>
      </w:r>
      <w:r>
        <w:rPr>
          <w:rFonts w:ascii="SimHei" w:hAnsi="SimHei" w:eastAsia="SimHei" w:cs="SimHei"/>
          <w:sz w:val="13"/>
          <w:szCs w:val="13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10"/>
        </w:rPr>
        <w:t>单外药品</w:t>
      </w:r>
    </w:p>
    <w:p>
      <w:pPr>
        <w:spacing w:line="121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right="623" w:firstLine="1630"/>
        <w:spacing w:before="43" w:line="229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19"/>
        </w:rPr>
        <w:t>不满足条件</w:t>
      </w:r>
      <w:r>
        <w:rPr>
          <w:rFonts w:ascii="SimHei" w:hAnsi="SimHei" w:eastAsia="SimHei" w:cs="SimHei"/>
          <w:sz w:val="13"/>
          <w:szCs w:val="13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13"/>
        </w:rPr>
        <w:t>直接挂网条件审核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left="609"/>
        <w:spacing w:before="43"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19"/>
        </w:rPr>
        <w:t>满足条件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0" w:lineRule="auto"/>
        <w:rPr>
          <w:rFonts w:ascii="Arial"/>
          <w:sz w:val="21"/>
        </w:rPr>
      </w:pPr>
      <w:r/>
    </w:p>
    <w:p>
      <w:pPr>
        <w:spacing w:before="42"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10"/>
        </w:rPr>
        <w:t>普通挂网</w:t>
      </w:r>
    </w:p>
    <w:p>
      <w:pPr>
        <w:spacing w:line="222" w:lineRule="auto"/>
        <w:sectPr>
          <w:type w:val="continuous"/>
          <w:pgSz w:w="11910" w:h="16840"/>
          <w:pgMar w:top="400" w:right="1786" w:bottom="1447" w:left="1744" w:header="0" w:footer="1058" w:gutter="0"/>
          <w:cols w:equalWidth="0" w:num="3">
            <w:col w:w="3936" w:space="100"/>
            <w:col w:w="3000" w:space="100"/>
            <w:col w:w="1244" w:space="0"/>
          </w:cols>
        </w:sectPr>
        <w:rPr>
          <w:rFonts w:ascii="SimHei" w:hAnsi="SimHei" w:eastAsia="SimHei" w:cs="SimHei"/>
          <w:sz w:val="13"/>
          <w:szCs w:val="13"/>
        </w:rPr>
      </w:pPr>
    </w:p>
    <w:p>
      <w:pPr>
        <w:spacing w:line="225" w:lineRule="exact"/>
        <w:rPr/>
      </w:pPr>
      <w:r/>
    </w:p>
    <w:p>
      <w:pPr>
        <w:spacing w:line="225" w:lineRule="exact"/>
        <w:sectPr>
          <w:type w:val="continuous"/>
          <w:pgSz w:w="11910" w:h="16840"/>
          <w:pgMar w:top="400" w:right="1786" w:bottom="1447" w:left="1744" w:header="0" w:footer="1058" w:gutter="0"/>
          <w:cols w:equalWidth="0" w:num="1">
            <w:col w:w="8380" w:space="0"/>
          </w:cols>
        </w:sectPr>
        <w:rPr/>
      </w:pPr>
    </w:p>
    <w:p>
      <w:pPr>
        <w:spacing w:line="26" w:lineRule="exact"/>
        <w:rPr/>
      </w:pPr>
      <w:r/>
    </w:p>
    <w:tbl>
      <w:tblPr>
        <w:tblStyle w:val="TableNormal"/>
        <w:tblW w:w="4936" w:type="dxa"/>
        <w:tblInd w:w="64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692"/>
        <w:gridCol w:w="1331"/>
        <w:gridCol w:w="1913"/>
      </w:tblGrid>
      <w:tr>
        <w:trPr>
          <w:trHeight w:val="2169" w:hRule="atLeast"/>
        </w:trPr>
        <w:tc>
          <w:tcPr>
            <w:tcW w:w="1692" w:type="dxa"/>
            <w:vAlign w:val="top"/>
          </w:tcPr>
          <w:p>
            <w:pPr>
              <w:pStyle w:val="TableText"/>
              <w:ind w:left="5"/>
              <w:spacing w:line="221" w:lineRule="auto"/>
              <w:rPr/>
            </w:pPr>
            <w:r>
              <w:rPr>
                <w:spacing w:val="6"/>
              </w:rPr>
              <w:t>【存在价格风险】</w:t>
            </w:r>
          </w:p>
          <w:p>
            <w:pPr>
              <w:pStyle w:val="TableText"/>
              <w:ind w:left="70"/>
              <w:spacing w:before="23" w:line="214" w:lineRule="auto"/>
              <w:rPr/>
            </w:pPr>
            <w:r>
              <w:rPr>
                <w:spacing w:val="3"/>
              </w:rPr>
              <w:t>满足以下条件任一：</w:t>
            </w:r>
          </w:p>
          <w:p>
            <w:pPr>
              <w:pStyle w:val="TableText"/>
              <w:ind w:left="70" w:right="330"/>
              <w:spacing w:before="1" w:line="239" w:lineRule="auto"/>
              <w:rPr/>
            </w:pPr>
            <w:r>
              <w:rPr>
                <w:rFonts w:ascii="SimSun" w:hAnsi="SimSun" w:eastAsia="SimSun" w:cs="SimSun"/>
                <w:spacing w:val="5"/>
              </w:rPr>
              <w:t>1、</w:t>
            </w:r>
            <w:r>
              <w:rPr>
                <w:spacing w:val="5"/>
              </w:rPr>
              <w:t>单日治疗费用是同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用途产品的2倍。</w:t>
            </w:r>
          </w:p>
          <w:p>
            <w:pPr>
              <w:pStyle w:val="TableText"/>
              <w:ind w:left="70" w:right="335"/>
              <w:spacing w:before="1" w:line="219" w:lineRule="auto"/>
              <w:rPr/>
            </w:pPr>
            <w:r>
              <w:rPr>
                <w:rFonts w:ascii="SimSun" w:hAnsi="SimSun" w:eastAsia="SimSun" w:cs="SimSun"/>
                <w:spacing w:val="5"/>
              </w:rPr>
              <w:t>2、</w:t>
            </w:r>
            <w:r>
              <w:rPr>
                <w:spacing w:val="5"/>
              </w:rPr>
              <w:t>单次或两年内累计</w:t>
            </w:r>
            <w:r>
              <w:rPr/>
              <w:t xml:space="preserve"> </w:t>
            </w:r>
            <w:r>
              <w:rPr>
                <w:spacing w:val="2"/>
              </w:rPr>
              <w:t>涨幅超过2倍。</w:t>
            </w:r>
          </w:p>
          <w:p>
            <w:pPr>
              <w:pStyle w:val="TableText"/>
              <w:ind w:left="70" w:right="336"/>
              <w:spacing w:before="21" w:line="226" w:lineRule="auto"/>
              <w:rPr/>
            </w:pPr>
            <w:r>
              <w:rPr>
                <w:rFonts w:ascii="SimSun" w:hAnsi="SimSun" w:eastAsia="SimSun" w:cs="SimSun"/>
                <w:spacing w:val="4"/>
              </w:rPr>
              <w:t>3、</w:t>
            </w:r>
            <w:r>
              <w:rPr>
                <w:spacing w:val="4"/>
              </w:rPr>
              <w:t>与原最高零售限价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涨幅超过3倍。</w:t>
            </w:r>
          </w:p>
          <w:p>
            <w:pPr>
              <w:pStyle w:val="TableText"/>
              <w:ind w:right="237" w:firstLine="70"/>
              <w:spacing w:before="11" w:line="232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4"/>
              </w:rPr>
              <w:t>4、</w:t>
            </w:r>
            <w:r>
              <w:rPr>
                <w:spacing w:val="4"/>
              </w:rPr>
              <w:t>原料药价格超过行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业平均价2倍，销售费</w:t>
            </w:r>
            <w:r>
              <w:rPr/>
              <w:t xml:space="preserve">  </w:t>
            </w:r>
            <w:r>
              <w:rPr>
                <w:spacing w:val="18"/>
              </w:rPr>
              <w:t>!用率超过50%,流通环</w:t>
            </w:r>
            <w:r>
              <w:rPr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pacing w:val="14"/>
              </w:rPr>
              <w:t>节价差率超过40%。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548" w:right="86"/>
              <w:spacing w:before="19" w:line="272" w:lineRule="auto"/>
              <w:rPr/>
            </w:pPr>
            <w:r>
              <w:rPr>
                <w:spacing w:val="9"/>
              </w:rPr>
              <w:t>信息不完整</w:t>
            </w:r>
            <w:r>
              <w:rPr/>
              <w:t xml:space="preserve"> </w:t>
            </w:r>
            <w:r>
              <w:rPr>
                <w:spacing w:val="9"/>
              </w:rPr>
              <w:t>资料不齐全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42" w:line="222" w:lineRule="auto"/>
              <w:rPr/>
            </w:pPr>
            <w:r>
              <w:rPr>
                <w:spacing w:val="16"/>
              </w:rPr>
              <w:t>补齐资料</w:t>
            </w:r>
          </w:p>
        </w:tc>
        <w:tc>
          <w:tcPr>
            <w:tcW w:w="19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6"/>
              <w:spacing w:before="270" w:line="222" w:lineRule="auto"/>
              <w:rPr/>
            </w:pPr>
            <w:r>
              <w:rPr>
                <w:spacing w:val="7"/>
              </w:rPr>
              <w:t>企业披露信息、</w:t>
            </w:r>
          </w:p>
          <w:p>
            <w:pPr>
              <w:pStyle w:val="TableText"/>
              <w:ind w:left="497"/>
              <w:spacing w:before="12" w:line="221" w:lineRule="auto"/>
              <w:rPr/>
            </w:pPr>
            <w:r>
              <w:rPr>
                <w:spacing w:val="15"/>
              </w:rPr>
              <w:t>提供证明材料</w:t>
            </w:r>
          </w:p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6" w:hanging="20"/>
              <w:spacing w:before="42" w:line="272" w:lineRule="auto"/>
              <w:rPr/>
            </w:pPr>
            <w:r>
              <w:rPr>
                <w:spacing w:val="19"/>
              </w:rPr>
              <w:t>披露信息完整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没有价格风险</w:t>
            </w:r>
          </w:p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42" w:line="222" w:lineRule="auto"/>
              <w:rPr/>
            </w:pPr>
            <w:r>
              <w:rPr>
                <w:spacing w:val="14"/>
              </w:rPr>
              <w:t>企业正式提请直接挂网</w:t>
            </w:r>
          </w:p>
          <w:p>
            <w:pPr>
              <w:pStyle w:val="TableText"/>
              <w:ind w:left="87"/>
              <w:spacing w:before="32" w:line="221" w:lineRule="auto"/>
              <w:rPr/>
            </w:pPr>
            <w:r>
              <w:rPr>
                <w:spacing w:val="14"/>
              </w:rPr>
              <w:t>省级医药集中采购机构受理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7" w:right="529" w:hanging="175"/>
              <w:spacing w:before="43" w:line="243" w:lineRule="auto"/>
              <w:rPr/>
            </w:pPr>
            <w:r>
              <w:rPr>
                <w:spacing w:val="-2"/>
              </w:rPr>
              <w:t>“直通型挂网“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条件审核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6"/>
              <w:spacing w:before="43" w:line="222" w:lineRule="auto"/>
              <w:rPr/>
            </w:pPr>
            <w:r>
              <w:rPr>
                <w:spacing w:val="21"/>
              </w:rPr>
              <w:t>不满足条件</w:t>
            </w:r>
          </w:p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7"/>
              <w:spacing w:before="43" w:line="222" w:lineRule="auto"/>
              <w:rPr/>
            </w:pPr>
            <w:r>
              <w:rPr>
                <w:spacing w:val="15"/>
              </w:rPr>
              <w:t>是否有同用途产品</w:t>
            </w:r>
          </w:p>
        </w:tc>
      </w:tr>
      <w:tr>
        <w:trPr>
          <w:trHeight w:val="2652" w:hRule="atLeast"/>
        </w:trPr>
        <w:tc>
          <w:tcPr>
            <w:tcW w:w="3023" w:type="dxa"/>
            <w:vAlign w:val="top"/>
            <w:gridSpan w:val="2"/>
          </w:tcPr>
          <w:p>
            <w:pPr>
              <w:pStyle w:val="TableText"/>
              <w:ind w:left="5"/>
              <w:spacing w:before="211" w:line="222" w:lineRule="auto"/>
              <w:rPr/>
            </w:pPr>
            <w:r>
              <w:rPr>
                <w:spacing w:val="3"/>
              </w:rPr>
              <w:t>【“直通型挂网”条件审核】</w:t>
            </w:r>
          </w:p>
          <w:p>
            <w:pPr>
              <w:pStyle w:val="TableText"/>
              <w:ind w:left="70" w:right="688"/>
              <w:spacing w:before="13" w:line="230" w:lineRule="auto"/>
              <w:rPr/>
            </w:pPr>
            <w:r>
              <w:rPr>
                <w:spacing w:val="3"/>
              </w:rPr>
              <w:t>仅在国家“两个清单”中或国家应急处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理，且申报挂网价满足以下条件任一：</w:t>
            </w:r>
          </w:p>
          <w:p>
            <w:pPr>
              <w:pStyle w:val="TableText"/>
              <w:ind w:left="70"/>
              <w:spacing w:before="5" w:line="222" w:lineRule="auto"/>
              <w:rPr/>
            </w:pPr>
            <w:r>
              <w:rPr>
                <w:rFonts w:ascii="SimSun" w:hAnsi="SimSun" w:eastAsia="SimSun" w:cs="SimSun"/>
                <w:spacing w:val="1"/>
              </w:rPr>
              <w:t>1、</w:t>
            </w:r>
            <w:r>
              <w:rPr>
                <w:spacing w:val="1"/>
              </w:rPr>
              <w:t>成本因索变动与涨幅基本吻合。</w:t>
            </w:r>
          </w:p>
          <w:p>
            <w:pPr>
              <w:pStyle w:val="TableText"/>
              <w:ind w:left="70" w:right="597"/>
              <w:spacing w:before="4" w:line="224" w:lineRule="auto"/>
              <w:rPr/>
            </w:pPr>
            <w:r>
              <w:rPr>
                <w:rFonts w:ascii="SimSun" w:hAnsi="SimSun" w:eastAsia="SimSun" w:cs="SimSun"/>
                <w:spacing w:val="4"/>
              </w:rPr>
              <w:t>2、</w:t>
            </w:r>
            <w:r>
              <w:rPr>
                <w:spacing w:val="4"/>
              </w:rPr>
              <w:t>单日治疗费用在同用途产品中位于由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低到高排序的前60%。</w:t>
            </w:r>
          </w:p>
          <w:p>
            <w:pPr>
              <w:pStyle w:val="TableText"/>
              <w:ind w:left="70" w:right="650"/>
              <w:spacing w:before="13" w:line="224" w:lineRule="auto"/>
              <w:rPr/>
            </w:pPr>
            <w:r>
              <w:rPr>
                <w:rFonts w:ascii="SimSun" w:hAnsi="SimSun" w:eastAsia="SimSun" w:cs="SimSun"/>
                <w:spacing w:val="8"/>
              </w:rPr>
              <w:t>3、</w:t>
            </w:r>
            <w:r>
              <w:rPr>
                <w:spacing w:val="8"/>
              </w:rPr>
              <w:t>单次或两年内累计涨幅未超过50%,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儿童专用药品放宽至100%。</w:t>
            </w:r>
          </w:p>
          <w:p>
            <w:pPr>
              <w:pStyle w:val="TableText"/>
              <w:ind w:left="70" w:right="650"/>
              <w:spacing w:before="24" w:line="217" w:lineRule="auto"/>
              <w:rPr/>
            </w:pPr>
            <w:r>
              <w:rPr>
                <w:rFonts w:ascii="SimSun" w:hAnsi="SimSun" w:eastAsia="SimSun" w:cs="SimSun"/>
                <w:spacing w:val="8"/>
              </w:rPr>
              <w:t>4、</w:t>
            </w:r>
            <w:r>
              <w:rPr>
                <w:spacing w:val="8"/>
              </w:rPr>
              <w:t>与原最高零售限价张帼未超过50%,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儿童专用药品放宽至100%。</w:t>
            </w:r>
          </w:p>
          <w:p>
            <w:pPr>
              <w:pStyle w:val="TableText"/>
              <w:ind w:left="70" w:right="604"/>
              <w:spacing w:before="15" w:line="224" w:lineRule="auto"/>
              <w:rPr/>
            </w:pPr>
            <w:r>
              <w:rPr>
                <w:rFonts w:ascii="SimSun" w:hAnsi="SimSun" w:eastAsia="SimSun" w:cs="SimSun"/>
                <w:spacing w:val="10"/>
              </w:rPr>
              <w:t>5、</w:t>
            </w:r>
            <w:r>
              <w:rPr>
                <w:spacing w:val="10"/>
              </w:rPr>
              <w:t>未高于参比制剂价格的60%,儿童专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用药品放宽至80%。</w:t>
            </w:r>
          </w:p>
          <w:p>
            <w:pPr>
              <w:pStyle w:val="TableText"/>
              <w:ind w:left="124" w:right="728" w:hanging="54"/>
              <w:spacing w:before="9" w:line="228" w:lineRule="auto"/>
              <w:rPr/>
            </w:pPr>
            <w:r>
              <w:rPr>
                <w:rFonts w:ascii="SimSun" w:hAnsi="SimSun" w:eastAsia="SimSun" w:cs="SimSun"/>
                <w:spacing w:val="4"/>
              </w:rPr>
              <w:t>6、</w:t>
            </w:r>
            <w:r>
              <w:rPr>
                <w:spacing w:val="4"/>
              </w:rPr>
              <w:t>存在价格风险，审计报告明确结论</w:t>
            </w:r>
            <w:r>
              <w:rPr>
                <w:spacing w:val="10"/>
              </w:rPr>
              <w:t xml:space="preserve"> </w:t>
            </w:r>
            <w:r>
              <w:rPr/>
              <w:t>“无保留意见”。</w:t>
            </w:r>
          </w:p>
          <w:p>
            <w:pPr>
              <w:pStyle w:val="TableText"/>
              <w:ind w:left="70"/>
              <w:spacing w:before="15" w:line="172" w:lineRule="auto"/>
              <w:rPr/>
            </w:pPr>
            <w:r>
              <w:rPr>
                <w:rFonts w:ascii="SimSun" w:hAnsi="SimSun" w:eastAsia="SimSun" w:cs="SimSun"/>
                <w:spacing w:val="4"/>
              </w:rPr>
              <w:t>7、</w:t>
            </w:r>
            <w:r>
              <w:rPr>
                <w:spacing w:val="4"/>
              </w:rPr>
              <w:t>单日治疗费用低于1元。</w:t>
            </w:r>
          </w:p>
        </w:tc>
        <w:tc>
          <w:tcPr>
            <w:tcW w:w="19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645"/>
        <w:spacing w:before="191" w:line="223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</w:rPr>
        <w:t>否</w:t>
      </w:r>
    </w:p>
    <w:p>
      <w:pPr>
        <w:ind w:left="4275"/>
        <w:spacing w:before="230"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16"/>
        </w:rPr>
        <w:t>附条件挂网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ind w:left="650"/>
        <w:spacing w:before="43"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4"/>
        </w:rPr>
        <w:t>【“附条件挂网”】</w:t>
      </w:r>
    </w:p>
    <w:p>
      <w:pPr>
        <w:ind w:left="715"/>
        <w:spacing w:before="2" w:line="221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1"/>
        </w:rPr>
        <w:t>企业承诺遵循以下内容：</w:t>
      </w:r>
    </w:p>
    <w:p>
      <w:pPr>
        <w:ind w:left="715" w:right="411"/>
        <w:spacing w:before="10" w:line="227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7"/>
        </w:rPr>
        <w:t>1、保持价格和供应稳定，3年内订单响应率不低于60%,除不可抗因素外，不</w:t>
      </w:r>
      <w:r>
        <w:rPr>
          <w:rFonts w:ascii="SimHei" w:hAnsi="SimHei" w:eastAsia="SimHei" w:cs="SimHei"/>
          <w:sz w:val="13"/>
          <w:szCs w:val="13"/>
          <w:spacing w:val="5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2"/>
        </w:rPr>
        <w:t>以任何理由进一步上调挂网价。</w:t>
      </w:r>
    </w:p>
    <w:p>
      <w:pPr>
        <w:ind w:left="715" w:right="382"/>
        <w:spacing w:line="227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3"/>
        </w:rPr>
        <w:t>2、</w:t>
      </w:r>
      <w:r>
        <w:rPr>
          <w:rFonts w:ascii="SimHei" w:hAnsi="SimHei" w:eastAsia="SimHei" w:cs="SimHei"/>
          <w:sz w:val="13"/>
          <w:szCs w:val="13"/>
          <w:spacing w:val="3"/>
        </w:rPr>
        <w:t>上调挂网价不存在垄断、价格串通等违法情</w:t>
      </w:r>
      <w:r>
        <w:rPr>
          <w:rFonts w:ascii="SimHei" w:hAnsi="SimHei" w:eastAsia="SimHei" w:cs="SimHei"/>
          <w:sz w:val="13"/>
          <w:szCs w:val="13"/>
          <w:spacing w:val="2"/>
        </w:rPr>
        <w:t>节，不发生不公平高价、拒绝交</w:t>
      </w:r>
      <w:r>
        <w:rPr>
          <w:rFonts w:ascii="SimHei" w:hAnsi="SimHei" w:eastAsia="SimHei" w:cs="SimHei"/>
          <w:sz w:val="13"/>
          <w:szCs w:val="13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1"/>
        </w:rPr>
        <w:t>易、限定交易等可以被认定为垄断的其他行为。</w:t>
      </w:r>
    </w:p>
    <w:p>
      <w:pPr>
        <w:ind w:left="715" w:right="382"/>
        <w:spacing w:before="1" w:line="227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3"/>
        </w:rPr>
        <w:t>3、</w:t>
      </w:r>
      <w:r>
        <w:rPr>
          <w:rFonts w:ascii="SimHei" w:hAnsi="SimHei" w:eastAsia="SimHei" w:cs="SimHei"/>
          <w:sz w:val="13"/>
          <w:szCs w:val="13"/>
          <w:spacing w:val="3"/>
        </w:rPr>
        <w:t>上调挂网价增加的药品销售收入不被用于带</w:t>
      </w:r>
      <w:r>
        <w:rPr>
          <w:rFonts w:ascii="SimHei" w:hAnsi="SimHei" w:eastAsia="SimHei" w:cs="SimHei"/>
          <w:sz w:val="13"/>
          <w:szCs w:val="13"/>
          <w:spacing w:val="2"/>
        </w:rPr>
        <w:t>金销售等不正当支出，不向经销</w:t>
      </w:r>
      <w:r>
        <w:rPr>
          <w:rFonts w:ascii="SimHei" w:hAnsi="SimHei" w:eastAsia="SimHei" w:cs="SimHei"/>
          <w:sz w:val="13"/>
          <w:szCs w:val="13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1"/>
        </w:rPr>
        <w:t>商直接或间接输送超过企业自身净利润的利益。</w:t>
      </w:r>
    </w:p>
    <w:p>
      <w:pPr>
        <w:ind w:left="715" w:right="372"/>
        <w:spacing w:before="19" w:line="228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3"/>
        </w:rPr>
        <w:t>4、如有直接证据或者逻辑闭环的间接证据表明，该药品张价存在垄断</w:t>
      </w:r>
      <w:r>
        <w:rPr>
          <w:rFonts w:ascii="SimHei" w:hAnsi="SimHei" w:eastAsia="SimHei" w:cs="SimHei"/>
          <w:sz w:val="13"/>
          <w:szCs w:val="13"/>
          <w:spacing w:val="2"/>
        </w:rPr>
        <w:t>或价格串</w:t>
      </w:r>
      <w:r>
        <w:rPr>
          <w:rFonts w:ascii="SimHei" w:hAnsi="SimHei" w:eastAsia="SimHei" w:cs="SimHei"/>
          <w:sz w:val="13"/>
          <w:szCs w:val="13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2"/>
        </w:rPr>
        <w:t>通等违法情节之一，或者存在带金销售、超额利益输送等行为之一的</w:t>
      </w:r>
      <w:r>
        <w:rPr>
          <w:rFonts w:ascii="SimHei" w:hAnsi="SimHei" w:eastAsia="SimHei" w:cs="SimHei"/>
          <w:sz w:val="13"/>
          <w:szCs w:val="13"/>
          <w:spacing w:val="1"/>
        </w:rPr>
        <w:t>，无条件</w:t>
      </w:r>
      <w:r>
        <w:rPr>
          <w:rFonts w:ascii="SimHei" w:hAnsi="SimHei" w:eastAsia="SimHei" w:cs="SimHei"/>
          <w:sz w:val="13"/>
          <w:szCs w:val="13"/>
        </w:rPr>
        <w:t xml:space="preserve">  </w:t>
      </w:r>
      <w:r>
        <w:rPr>
          <w:rFonts w:ascii="SimHei" w:hAnsi="SimHei" w:eastAsia="SimHei" w:cs="SimHei"/>
          <w:sz w:val="13"/>
          <w:szCs w:val="13"/>
          <w:spacing w:val="2"/>
        </w:rPr>
        <w:t>接受医疗保障部门将挂网价回调至涨价前水平，同时按照涨价期间销量计</w:t>
      </w:r>
      <w:r>
        <w:rPr>
          <w:rFonts w:ascii="SimHei" w:hAnsi="SimHei" w:eastAsia="SimHei" w:cs="SimHei"/>
          <w:sz w:val="13"/>
          <w:szCs w:val="13"/>
          <w:spacing w:val="1"/>
        </w:rPr>
        <w:t>算差</w:t>
      </w:r>
      <w:r>
        <w:rPr>
          <w:rFonts w:ascii="SimHei" w:hAnsi="SimHei" w:eastAsia="SimHei" w:cs="SimHei"/>
          <w:sz w:val="13"/>
          <w:szCs w:val="13"/>
        </w:rPr>
        <w:t xml:space="preserve">  </w:t>
      </w:r>
      <w:r>
        <w:rPr>
          <w:rFonts w:ascii="SimHei" w:hAnsi="SimHei" w:eastAsia="SimHei" w:cs="SimHei"/>
          <w:sz w:val="13"/>
          <w:szCs w:val="13"/>
          <w:spacing w:val="2"/>
        </w:rPr>
        <w:t>价收入，3倍返还相应省份医保基金。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10"/>
        <w:spacing w:before="214"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15"/>
        </w:rPr>
        <w:t>存在价格风险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20"/>
        <w:spacing w:before="43" w:line="221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9"/>
        </w:rPr>
        <w:t>满足以下条件任一：</w:t>
      </w:r>
    </w:p>
    <w:p>
      <w:pPr>
        <w:ind w:left="320"/>
        <w:spacing w:before="36"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13"/>
        </w:rPr>
        <w:t>1、</w:t>
      </w:r>
      <w:r>
        <w:rPr>
          <w:rFonts w:ascii="SimHei" w:hAnsi="SimHei" w:eastAsia="SimHei" w:cs="SimHei"/>
          <w:sz w:val="13"/>
          <w:szCs w:val="13"/>
          <w:spacing w:val="13"/>
        </w:rPr>
        <w:t>补充提供审计报告</w:t>
      </w:r>
    </w:p>
    <w:p>
      <w:pPr>
        <w:ind w:left="320"/>
        <w:spacing w:before="37" w:line="213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9"/>
        </w:rPr>
        <w:t>2、</w:t>
      </w:r>
      <w:r>
        <w:rPr>
          <w:rFonts w:ascii="SimSun" w:hAnsi="SimSun" w:eastAsia="SimSun" w:cs="SimSun"/>
          <w:sz w:val="13"/>
          <w:szCs w:val="13"/>
          <w:spacing w:val="-12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9"/>
        </w:rPr>
        <w:t>原料药等成本失控，已报案</w:t>
      </w:r>
    </w:p>
    <w:p>
      <w:pPr>
        <w:ind w:left="320"/>
        <w:spacing w:before="6" w:line="221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12"/>
        </w:rPr>
        <w:t>3、</w:t>
      </w:r>
      <w:r>
        <w:rPr>
          <w:rFonts w:ascii="SimHei" w:hAnsi="SimHei" w:eastAsia="SimHei" w:cs="SimHei"/>
          <w:sz w:val="13"/>
          <w:szCs w:val="13"/>
          <w:spacing w:val="12"/>
        </w:rPr>
        <w:t>重新优化报价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before="42" w:line="213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16"/>
        </w:rPr>
        <w:t>满足条件</w:t>
      </w:r>
    </w:p>
    <w:p>
      <w:pPr>
        <w:ind w:left="1309"/>
        <w:spacing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14"/>
        </w:rPr>
        <w:t>直通型挂网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199"/>
        <w:spacing w:before="43"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</w:rPr>
        <w:t>是</w:t>
      </w:r>
    </w:p>
    <w:p>
      <w:pPr>
        <w:ind w:left="1309"/>
        <w:spacing w:before="3"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14"/>
        </w:rPr>
        <w:t>递补型挂网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15"/>
        <w:spacing w:before="44" w:line="222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3"/>
        </w:rPr>
        <w:t>【“递补型挂网”】</w:t>
      </w:r>
    </w:p>
    <w:p>
      <w:pPr>
        <w:ind w:left="110" w:right="228"/>
        <w:spacing w:before="4" w:line="236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1"/>
        </w:rPr>
        <w:t>1、</w:t>
      </w:r>
      <w:r>
        <w:rPr>
          <w:rFonts w:ascii="SimHei" w:hAnsi="SimHei" w:eastAsia="SimHei" w:cs="SimHei"/>
          <w:sz w:val="13"/>
          <w:szCs w:val="13"/>
          <w:spacing w:val="1"/>
        </w:rPr>
        <w:t>单日治疗费用比同用途产品最高值</w:t>
      </w:r>
      <w:r>
        <w:rPr>
          <w:rFonts w:ascii="SimHei" w:hAnsi="SimHei" w:eastAsia="SimHei" w:cs="SimHei"/>
          <w:sz w:val="13"/>
          <w:szCs w:val="13"/>
          <w:spacing w:val="6"/>
        </w:rPr>
        <w:t xml:space="preserve">  </w:t>
      </w:r>
      <w:r>
        <w:rPr>
          <w:rFonts w:ascii="SimHei" w:hAnsi="SimHei" w:eastAsia="SimHei" w:cs="SimHei"/>
          <w:sz w:val="13"/>
          <w:szCs w:val="13"/>
          <w:spacing w:val="-1"/>
        </w:rPr>
        <w:t>涨幅小于等于1.8倍的，采用黄色标识，</w:t>
      </w:r>
      <w:r>
        <w:rPr>
          <w:rFonts w:ascii="SimHei" w:hAnsi="SimHei" w:eastAsia="SimHei" w:cs="SimHei"/>
          <w:sz w:val="13"/>
          <w:szCs w:val="13"/>
          <w:spacing w:val="7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1"/>
        </w:rPr>
        <w:t>医院采购时弹窗提示，建议优先采购无</w:t>
      </w:r>
      <w:r>
        <w:rPr>
          <w:rFonts w:ascii="SimHei" w:hAnsi="SimHei" w:eastAsia="SimHei" w:cs="SimHei"/>
          <w:sz w:val="13"/>
          <w:szCs w:val="13"/>
          <w:spacing w:val="9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-2"/>
        </w:rPr>
        <w:t>特殊标记的同用途产品。</w:t>
      </w:r>
    </w:p>
    <w:p>
      <w:pPr>
        <w:ind w:left="110" w:right="223"/>
        <w:spacing w:before="5" w:line="226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1"/>
        </w:rPr>
        <w:t>2、</w:t>
      </w:r>
      <w:r>
        <w:rPr>
          <w:rFonts w:ascii="SimHei" w:hAnsi="SimHei" w:eastAsia="SimHei" w:cs="SimHei"/>
          <w:sz w:val="13"/>
          <w:szCs w:val="13"/>
          <w:spacing w:val="1"/>
        </w:rPr>
        <w:t>单日治疗费用比同用途产品最高值</w:t>
      </w:r>
      <w:r>
        <w:rPr>
          <w:rFonts w:ascii="SimHei" w:hAnsi="SimHei" w:eastAsia="SimHei" w:cs="SimHei"/>
          <w:sz w:val="13"/>
          <w:szCs w:val="13"/>
          <w:spacing w:val="6"/>
        </w:rPr>
        <w:t xml:space="preserve">  </w:t>
      </w:r>
      <w:r>
        <w:rPr>
          <w:rFonts w:ascii="SimHei" w:hAnsi="SimHei" w:eastAsia="SimHei" w:cs="SimHei"/>
          <w:sz w:val="13"/>
          <w:szCs w:val="13"/>
          <w:spacing w:val="-1"/>
        </w:rPr>
        <w:t>涨幅大于1.8倍的，采用红色标识，医院</w:t>
      </w:r>
      <w:r>
        <w:rPr>
          <w:rFonts w:ascii="SimHei" w:hAnsi="SimHei" w:eastAsia="SimHei" w:cs="SimHei"/>
          <w:sz w:val="13"/>
          <w:szCs w:val="13"/>
          <w:spacing w:val="13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1"/>
        </w:rPr>
        <w:t>采购时弹窗警告，要求优先采购非红标</w:t>
      </w:r>
      <w:r>
        <w:rPr>
          <w:rFonts w:ascii="SimHei" w:hAnsi="SimHei" w:eastAsia="SimHei" w:cs="SimHei"/>
          <w:sz w:val="13"/>
          <w:szCs w:val="13"/>
          <w:spacing w:val="6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-4"/>
        </w:rPr>
        <w:t>的同用途产品。</w:t>
      </w:r>
    </w:p>
    <w:p>
      <w:pPr>
        <w:ind w:left="110" w:right="256"/>
        <w:spacing w:before="5" w:line="239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1"/>
        </w:rPr>
        <w:t>3、</w:t>
      </w:r>
      <w:r>
        <w:rPr>
          <w:rFonts w:ascii="SimHei" w:hAnsi="SimHei" w:eastAsia="SimHei" w:cs="SimHei"/>
          <w:sz w:val="13"/>
          <w:szCs w:val="13"/>
          <w:spacing w:val="1"/>
        </w:rPr>
        <w:t>医院未优先采购低风险药品，可能</w:t>
      </w:r>
      <w:r>
        <w:rPr>
          <w:rFonts w:ascii="SimHei" w:hAnsi="SimHei" w:eastAsia="SimHei" w:cs="SimHei"/>
          <w:sz w:val="13"/>
          <w:szCs w:val="13"/>
          <w:spacing w:val="7"/>
        </w:rPr>
        <w:t xml:space="preserve">  </w:t>
      </w:r>
      <w:r>
        <w:rPr>
          <w:rFonts w:ascii="SimHei" w:hAnsi="SimHei" w:eastAsia="SimHei" w:cs="SimHei"/>
          <w:sz w:val="13"/>
          <w:szCs w:val="13"/>
          <w:spacing w:val="1"/>
        </w:rPr>
        <w:t>影响医保基金安全的，视情节提高其飞</w:t>
      </w:r>
      <w:r>
        <w:rPr>
          <w:rFonts w:ascii="SimHei" w:hAnsi="SimHei" w:eastAsia="SimHei" w:cs="SimHei"/>
          <w:sz w:val="13"/>
          <w:szCs w:val="13"/>
          <w:spacing w:val="9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1"/>
        </w:rPr>
        <w:t>行检查的抽选权重或建议直接列入下一</w:t>
      </w:r>
      <w:r>
        <w:rPr>
          <w:rFonts w:ascii="SimHei" w:hAnsi="SimHei" w:eastAsia="SimHei" w:cs="SimHei"/>
          <w:sz w:val="13"/>
          <w:szCs w:val="13"/>
          <w:spacing w:val="9"/>
        </w:rPr>
        <w:t xml:space="preserve"> </w:t>
      </w:r>
      <w:r>
        <w:rPr>
          <w:rFonts w:ascii="SimHei" w:hAnsi="SimHei" w:eastAsia="SimHei" w:cs="SimHei"/>
          <w:sz w:val="13"/>
          <w:szCs w:val="13"/>
          <w:spacing w:val="-2"/>
        </w:rPr>
        <w:t>年度医保基金飞行检查名单。</w:t>
      </w:r>
    </w:p>
    <w:p>
      <w:pPr>
        <w:spacing w:line="239" w:lineRule="auto"/>
        <w:sectPr>
          <w:type w:val="continuous"/>
          <w:pgSz w:w="11910" w:h="16840"/>
          <w:pgMar w:top="400" w:right="1786" w:bottom="1447" w:left="1744" w:header="0" w:footer="1058" w:gutter="0"/>
          <w:cols w:equalWidth="0" w:num="2">
            <w:col w:w="5676" w:space="100"/>
            <w:col w:w="2604" w:space="0"/>
          </w:cols>
        </w:sectPr>
        <w:rPr>
          <w:rFonts w:ascii="SimHei" w:hAnsi="SimHei" w:eastAsia="SimHei" w:cs="SimHei"/>
          <w:sz w:val="13"/>
          <w:szCs w:val="13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9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8"/>
        </w:rPr>
        <w:t>附件2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1151"/>
        <w:spacing w:before="137" w:line="218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8"/>
        </w:rPr>
        <w:t>药品生产经营情况和价格构成情况表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4117"/>
        <w:spacing w:before="52" w:line="22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b/>
          <w:bCs/>
          <w:spacing w:val="-15"/>
        </w:rPr>
        <w:t>(</w:t>
      </w:r>
      <w:r>
        <w:rPr>
          <w:rFonts w:ascii="SimSun" w:hAnsi="SimSun" w:eastAsia="SimSun" w:cs="SimSun"/>
          <w:sz w:val="16"/>
          <w:szCs w:val="16"/>
          <w:spacing w:val="-28"/>
        </w:rPr>
        <w:t xml:space="preserve"> </w:t>
      </w:r>
      <w:r>
        <w:rPr>
          <w:rFonts w:ascii="SimSun" w:hAnsi="SimSun" w:eastAsia="SimSun" w:cs="SimSun"/>
          <w:sz w:val="16"/>
          <w:szCs w:val="16"/>
          <w:b/>
          <w:bCs/>
          <w:spacing w:val="-15"/>
        </w:rPr>
        <w:t>正</w:t>
      </w:r>
      <w:r>
        <w:rPr>
          <w:rFonts w:ascii="SimSun" w:hAnsi="SimSun" w:eastAsia="SimSun" w:cs="SimSun"/>
          <w:sz w:val="16"/>
          <w:szCs w:val="16"/>
          <w:spacing w:val="-31"/>
        </w:rPr>
        <w:t xml:space="preserve"> </w:t>
      </w:r>
      <w:r>
        <w:rPr>
          <w:rFonts w:ascii="SimSun" w:hAnsi="SimSun" w:eastAsia="SimSun" w:cs="SimSun"/>
          <w:sz w:val="16"/>
          <w:szCs w:val="16"/>
          <w:b/>
          <w:bCs/>
          <w:spacing w:val="-15"/>
        </w:rPr>
        <w:t>面</w:t>
      </w:r>
      <w:r>
        <w:rPr>
          <w:rFonts w:ascii="SimSun" w:hAnsi="SimSun" w:eastAsia="SimSun" w:cs="SimSun"/>
          <w:sz w:val="16"/>
          <w:szCs w:val="16"/>
          <w:spacing w:val="-32"/>
        </w:rPr>
        <w:t xml:space="preserve"> </w:t>
      </w:r>
      <w:r>
        <w:rPr>
          <w:rFonts w:ascii="SimSun" w:hAnsi="SimSun" w:eastAsia="SimSun" w:cs="SimSun"/>
          <w:sz w:val="16"/>
          <w:szCs w:val="16"/>
          <w:b/>
          <w:bCs/>
          <w:spacing w:val="-15"/>
        </w:rPr>
        <w:t>)</w:t>
      </w:r>
    </w:p>
    <w:p>
      <w:pPr>
        <w:ind w:left="7477"/>
        <w:spacing w:before="177" w:line="21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b/>
          <w:bCs/>
          <w:spacing w:val="12"/>
        </w:rPr>
        <w:t>金额单位：元</w:t>
      </w:r>
    </w:p>
    <w:p>
      <w:pPr>
        <w:spacing w:line="50" w:lineRule="exact"/>
        <w:rPr/>
      </w:pPr>
      <w:r/>
    </w:p>
    <w:tbl>
      <w:tblPr>
        <w:tblStyle w:val="TableNormal"/>
        <w:tblW w:w="8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5"/>
        <w:gridCol w:w="829"/>
        <w:gridCol w:w="1089"/>
        <w:gridCol w:w="1308"/>
        <w:gridCol w:w="1059"/>
        <w:gridCol w:w="270"/>
        <w:gridCol w:w="779"/>
        <w:gridCol w:w="529"/>
        <w:gridCol w:w="519"/>
        <w:gridCol w:w="749"/>
        <w:gridCol w:w="300"/>
        <w:gridCol w:w="1064"/>
      </w:tblGrid>
      <w:tr>
        <w:trPr>
          <w:trHeight w:val="274" w:hRule="atLeast"/>
        </w:trPr>
        <w:tc>
          <w:tcPr>
            <w:tcW w:w="2203" w:type="dxa"/>
            <w:vAlign w:val="top"/>
            <w:gridSpan w:val="3"/>
          </w:tcPr>
          <w:p>
            <w:pPr>
              <w:ind w:left="764"/>
              <w:spacing w:before="52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药品名称</w:t>
            </w:r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ind w:left="461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剂型</w:t>
            </w:r>
          </w:p>
        </w:tc>
        <w:tc>
          <w:tcPr>
            <w:tcW w:w="2637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ind w:left="113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规格</w:t>
            </w:r>
          </w:p>
        </w:tc>
        <w:tc>
          <w:tcPr>
            <w:tcW w:w="2632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ind w:left="947"/>
              <w:spacing w:before="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零售单位</w:t>
            </w:r>
          </w:p>
          <w:p>
            <w:pPr>
              <w:ind w:left="856"/>
              <w:spacing w:before="66" w:line="19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(盒/瓶/支)</w:t>
            </w:r>
          </w:p>
        </w:tc>
      </w:tr>
      <w:tr>
        <w:trPr>
          <w:trHeight w:val="270" w:hRule="atLeast"/>
        </w:trPr>
        <w:tc>
          <w:tcPr>
            <w:tcW w:w="1114" w:type="dxa"/>
            <w:vAlign w:val="top"/>
            <w:gridSpan w:val="2"/>
          </w:tcPr>
          <w:p>
            <w:pPr>
              <w:ind w:left="295"/>
              <w:spacing w:before="49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通用名</w:t>
            </w:r>
          </w:p>
        </w:tc>
        <w:tc>
          <w:tcPr>
            <w:tcW w:w="1089" w:type="dxa"/>
            <w:vAlign w:val="top"/>
          </w:tcPr>
          <w:p>
            <w:pPr>
              <w:ind w:left="301"/>
              <w:spacing w:before="48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商品名</w:t>
            </w:r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7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11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203" w:type="dxa"/>
            <w:vAlign w:val="top"/>
            <w:gridSpan w:val="3"/>
          </w:tcPr>
          <w:p>
            <w:pPr>
              <w:ind w:left="665"/>
              <w:spacing w:before="38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年设计产能</w:t>
            </w:r>
          </w:p>
        </w:tc>
        <w:tc>
          <w:tcPr>
            <w:tcW w:w="1308" w:type="dxa"/>
            <w:vAlign w:val="top"/>
          </w:tcPr>
          <w:p>
            <w:pPr>
              <w:ind w:left="191"/>
              <w:spacing w:before="38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2019年销量</w:t>
            </w:r>
          </w:p>
        </w:tc>
        <w:tc>
          <w:tcPr>
            <w:tcW w:w="1329" w:type="dxa"/>
            <w:vAlign w:val="top"/>
            <w:gridSpan w:val="2"/>
          </w:tcPr>
          <w:p>
            <w:pPr>
              <w:ind w:left="203"/>
              <w:spacing w:before="38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2020年销量</w:t>
            </w:r>
          </w:p>
        </w:tc>
        <w:tc>
          <w:tcPr>
            <w:tcW w:w="1308" w:type="dxa"/>
            <w:vAlign w:val="top"/>
            <w:gridSpan w:val="2"/>
          </w:tcPr>
          <w:p>
            <w:pPr>
              <w:ind w:left="194"/>
              <w:spacing w:before="38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2021年销量</w:t>
            </w:r>
          </w:p>
        </w:tc>
        <w:tc>
          <w:tcPr>
            <w:tcW w:w="1268" w:type="dxa"/>
            <w:vAlign w:val="top"/>
            <w:gridSpan w:val="2"/>
          </w:tcPr>
          <w:p>
            <w:pPr>
              <w:ind w:left="177"/>
              <w:spacing w:before="38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2022年销量</w:t>
            </w:r>
          </w:p>
        </w:tc>
        <w:tc>
          <w:tcPr>
            <w:tcW w:w="1364" w:type="dxa"/>
            <w:vAlign w:val="top"/>
            <w:gridSpan w:val="2"/>
          </w:tcPr>
          <w:p>
            <w:pPr>
              <w:ind w:left="229"/>
              <w:spacing w:before="38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2023年销量</w:t>
            </w:r>
          </w:p>
        </w:tc>
      </w:tr>
      <w:tr>
        <w:trPr>
          <w:trHeight w:val="270" w:hRule="atLeast"/>
        </w:trPr>
        <w:tc>
          <w:tcPr>
            <w:tcW w:w="220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203" w:type="dxa"/>
            <w:vAlign w:val="top"/>
            <w:gridSpan w:val="3"/>
          </w:tcPr>
          <w:p>
            <w:pPr>
              <w:ind w:left="15"/>
              <w:spacing w:before="4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市场份额占比(按金额计)</w:t>
            </w:r>
          </w:p>
        </w:tc>
        <w:tc>
          <w:tcPr>
            <w:tcW w:w="1308" w:type="dxa"/>
            <w:vAlign w:val="top"/>
          </w:tcPr>
          <w:p>
            <w:pPr>
              <w:spacing w:before="47" w:line="217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2019年平均出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厂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价</w:t>
            </w:r>
          </w:p>
        </w:tc>
        <w:tc>
          <w:tcPr>
            <w:tcW w:w="1329" w:type="dxa"/>
            <w:vAlign w:val="top"/>
            <w:gridSpan w:val="2"/>
          </w:tcPr>
          <w:p>
            <w:pPr>
              <w:spacing w:before="47" w:line="217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2020年平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均出厂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价</w:t>
            </w:r>
          </w:p>
        </w:tc>
        <w:tc>
          <w:tcPr>
            <w:tcW w:w="1308" w:type="dxa"/>
            <w:vAlign w:val="top"/>
            <w:gridSpan w:val="2"/>
          </w:tcPr>
          <w:p>
            <w:pPr>
              <w:spacing w:before="47" w:line="217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2021年平均出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厂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价</w:t>
            </w:r>
          </w:p>
        </w:tc>
        <w:tc>
          <w:tcPr>
            <w:tcW w:w="1268" w:type="dxa"/>
            <w:vAlign w:val="top"/>
            <w:gridSpan w:val="2"/>
          </w:tcPr>
          <w:p>
            <w:pPr>
              <w:spacing w:before="47" w:line="217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  <w:w w:val="99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  <w:w w:val="99"/>
              </w:rPr>
              <w:t>22年平均出厂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9"/>
              </w:rPr>
              <w:t>价</w:t>
            </w:r>
          </w:p>
        </w:tc>
        <w:tc>
          <w:tcPr>
            <w:tcW w:w="1364" w:type="dxa"/>
            <w:vAlign w:val="top"/>
            <w:gridSpan w:val="2"/>
          </w:tcPr>
          <w:p>
            <w:pPr>
              <w:spacing w:before="47" w:line="217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202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3年平均出厂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价</w:t>
            </w:r>
          </w:p>
        </w:tc>
      </w:tr>
      <w:tr>
        <w:trPr>
          <w:trHeight w:val="270" w:hRule="atLeast"/>
        </w:trPr>
        <w:tc>
          <w:tcPr>
            <w:tcW w:w="220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203" w:type="dxa"/>
            <w:vAlign w:val="top"/>
            <w:gridSpan w:val="3"/>
          </w:tcPr>
          <w:p>
            <w:pPr>
              <w:ind w:left="915"/>
              <w:spacing w:before="41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项 目</w:t>
            </w:r>
          </w:p>
        </w:tc>
        <w:tc>
          <w:tcPr>
            <w:tcW w:w="1308" w:type="dxa"/>
            <w:vAlign w:val="top"/>
          </w:tcPr>
          <w:p>
            <w:pPr>
              <w:ind w:left="282"/>
              <w:spacing w:before="40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单位金额</w:t>
            </w:r>
          </w:p>
        </w:tc>
        <w:tc>
          <w:tcPr>
            <w:tcW w:w="5269" w:type="dxa"/>
            <w:vAlign w:val="top"/>
            <w:gridSpan w:val="8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863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需要展开说明的细项</w:t>
            </w:r>
          </w:p>
        </w:tc>
      </w:tr>
      <w:tr>
        <w:trPr>
          <w:trHeight w:val="539" w:hRule="atLeast"/>
        </w:trPr>
        <w:tc>
          <w:tcPr>
            <w:tcW w:w="2203" w:type="dxa"/>
            <w:vAlign w:val="top"/>
            <w:gridSpan w:val="3"/>
          </w:tcPr>
          <w:p>
            <w:pPr>
              <w:ind w:left="15"/>
              <w:spacing w:before="6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一、制造成本</w:t>
            </w:r>
          </w:p>
          <w:p>
            <w:pPr>
              <w:ind w:left="15"/>
              <w:spacing w:before="69" w:line="19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(1+2+3+4+5+6+7)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69" w:type="dxa"/>
            <w:vAlign w:val="top"/>
            <w:gridSpan w:val="8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8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spacing w:before="52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1、药用原料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69" w:type="dxa"/>
            <w:vAlign w:val="top"/>
            <w:gridSpan w:val="8"/>
          </w:tcPr>
          <w:p>
            <w:pPr>
              <w:ind w:left="14"/>
              <w:spacing w:before="52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1、药用原料来源(是否自产；非自产请注明是进口或国产)</w:t>
            </w:r>
          </w:p>
        </w:tc>
      </w:tr>
      <w:tr>
        <w:trPr>
          <w:trHeight w:val="260" w:hRule="atLeast"/>
        </w:trPr>
        <w:tc>
          <w:tcPr>
            <w:tcW w:w="2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spacing w:before="4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2、主要辅料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69" w:type="dxa"/>
            <w:vAlign w:val="top"/>
            <w:gridSpan w:val="8"/>
          </w:tcPr>
          <w:p>
            <w:pPr>
              <w:ind w:left="14"/>
              <w:spacing w:before="42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2、主要辅料(如品类较多，可另页填写完整)</w:t>
            </w:r>
          </w:p>
        </w:tc>
      </w:tr>
      <w:tr>
        <w:trPr>
          <w:trHeight w:val="270" w:hRule="atLeast"/>
        </w:trPr>
        <w:tc>
          <w:tcPr>
            <w:tcW w:w="2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spacing w:before="51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3、主要包装材料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ind w:left="163"/>
              <w:spacing w:before="52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辅料名称</w:t>
            </w:r>
          </w:p>
        </w:tc>
        <w:tc>
          <w:tcPr>
            <w:tcW w:w="1049" w:type="dxa"/>
            <w:vAlign w:val="top"/>
            <w:gridSpan w:val="2"/>
          </w:tcPr>
          <w:p>
            <w:pPr>
              <w:ind w:left="155"/>
              <w:spacing w:before="52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单位消耗</w:t>
            </w:r>
          </w:p>
        </w:tc>
        <w:tc>
          <w:tcPr>
            <w:tcW w:w="1048" w:type="dxa"/>
            <w:vAlign w:val="top"/>
            <w:gridSpan w:val="2"/>
          </w:tcPr>
          <w:p>
            <w:pPr>
              <w:ind w:left="156"/>
              <w:spacing w:before="50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计价单位</w:t>
            </w:r>
          </w:p>
        </w:tc>
        <w:tc>
          <w:tcPr>
            <w:tcW w:w="1049" w:type="dxa"/>
            <w:vAlign w:val="top"/>
            <w:gridSpan w:val="2"/>
          </w:tcPr>
          <w:p>
            <w:pPr>
              <w:ind w:left="158"/>
              <w:spacing w:before="50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单位价格</w:t>
            </w:r>
          </w:p>
        </w:tc>
        <w:tc>
          <w:tcPr>
            <w:tcW w:w="1064" w:type="dxa"/>
            <w:vAlign w:val="top"/>
          </w:tcPr>
          <w:p>
            <w:pPr>
              <w:ind w:left="169"/>
              <w:spacing w:before="52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物料来源</w:t>
            </w:r>
          </w:p>
        </w:tc>
      </w:tr>
      <w:tr>
        <w:trPr>
          <w:trHeight w:val="270" w:hRule="atLeast"/>
        </w:trPr>
        <w:tc>
          <w:tcPr>
            <w:tcW w:w="2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spacing w:before="52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4、燃料动力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spacing w:before="5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5、直接工资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spacing w:before="43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6、制造费用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spacing w:before="54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7、其他直接支出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69" w:type="dxa"/>
            <w:vAlign w:val="top"/>
            <w:gridSpan w:val="8"/>
          </w:tcPr>
          <w:p>
            <w:pPr>
              <w:ind w:left="14"/>
              <w:spacing w:before="52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3、主要包装材料(如品类较多，可另页填写完整)</w:t>
            </w:r>
          </w:p>
        </w:tc>
      </w:tr>
      <w:tr>
        <w:trPr>
          <w:trHeight w:val="269" w:hRule="atLeast"/>
        </w:trPr>
        <w:tc>
          <w:tcPr>
            <w:tcW w:w="2203" w:type="dxa"/>
            <w:vAlign w:val="top"/>
            <w:gridSpan w:val="3"/>
          </w:tcPr>
          <w:p>
            <w:pPr>
              <w:ind w:left="365"/>
              <w:spacing w:before="5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期间费用(8+9+10)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ind w:left="163"/>
              <w:spacing w:before="52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包材名称</w:t>
            </w:r>
          </w:p>
        </w:tc>
        <w:tc>
          <w:tcPr>
            <w:tcW w:w="1049" w:type="dxa"/>
            <w:vAlign w:val="top"/>
            <w:gridSpan w:val="2"/>
          </w:tcPr>
          <w:p>
            <w:pPr>
              <w:ind w:left="155"/>
              <w:spacing w:before="53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单位消耗</w:t>
            </w:r>
          </w:p>
        </w:tc>
        <w:tc>
          <w:tcPr>
            <w:tcW w:w="1048" w:type="dxa"/>
            <w:vAlign w:val="top"/>
            <w:gridSpan w:val="2"/>
          </w:tcPr>
          <w:p>
            <w:pPr>
              <w:ind w:left="156"/>
              <w:spacing w:before="51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计价单位</w:t>
            </w:r>
          </w:p>
        </w:tc>
        <w:tc>
          <w:tcPr>
            <w:tcW w:w="1049" w:type="dxa"/>
            <w:vAlign w:val="top"/>
            <w:gridSpan w:val="2"/>
          </w:tcPr>
          <w:p>
            <w:pPr>
              <w:ind w:left="158"/>
              <w:spacing w:before="51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单位价格</w:t>
            </w:r>
          </w:p>
        </w:tc>
        <w:tc>
          <w:tcPr>
            <w:tcW w:w="1064" w:type="dxa"/>
            <w:vAlign w:val="top"/>
          </w:tcPr>
          <w:p>
            <w:pPr>
              <w:ind w:left="169"/>
              <w:spacing w:before="53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物料来源</w:t>
            </w:r>
          </w:p>
        </w:tc>
      </w:tr>
      <w:tr>
        <w:trPr>
          <w:trHeight w:val="260" w:hRule="atLeast"/>
        </w:trPr>
        <w:tc>
          <w:tcPr>
            <w:tcW w:w="28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spacing w:before="4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8、销售费用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spacing w:before="54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9、管理费用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ind w:left="520"/>
              <w:spacing w:before="56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研发费用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spacing w:before="5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10、财务费用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69" w:type="dxa"/>
            <w:vAlign w:val="top"/>
            <w:gridSpan w:val="8"/>
          </w:tcPr>
          <w:p>
            <w:pPr>
              <w:ind w:left="14"/>
              <w:spacing w:before="56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四、税费</w:t>
            </w:r>
          </w:p>
        </w:tc>
      </w:tr>
      <w:tr>
        <w:trPr>
          <w:trHeight w:val="259" w:hRule="atLeast"/>
        </w:trPr>
        <w:tc>
          <w:tcPr>
            <w:tcW w:w="2203" w:type="dxa"/>
            <w:vAlign w:val="top"/>
            <w:gridSpan w:val="3"/>
          </w:tcPr>
          <w:p>
            <w:pPr>
              <w:ind w:left="15"/>
              <w:spacing w:before="4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三、销售利润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ind w:left="294"/>
              <w:spacing w:before="4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税种名称</w:t>
            </w:r>
          </w:p>
        </w:tc>
        <w:tc>
          <w:tcPr>
            <w:tcW w:w="1308" w:type="dxa"/>
            <w:vAlign w:val="top"/>
            <w:gridSpan w:val="2"/>
          </w:tcPr>
          <w:p>
            <w:pPr>
              <w:ind w:left="464"/>
              <w:spacing w:before="45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税率</w:t>
            </w:r>
          </w:p>
        </w:tc>
        <w:tc>
          <w:tcPr>
            <w:tcW w:w="1268" w:type="dxa"/>
            <w:vAlign w:val="top"/>
            <w:gridSpan w:val="2"/>
          </w:tcPr>
          <w:p>
            <w:pPr>
              <w:ind w:left="266"/>
              <w:spacing w:before="45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征收方式</w:t>
            </w:r>
          </w:p>
        </w:tc>
        <w:tc>
          <w:tcPr>
            <w:tcW w:w="1364" w:type="dxa"/>
            <w:vAlign w:val="top"/>
            <w:gridSpan w:val="2"/>
          </w:tcPr>
          <w:p>
            <w:pPr>
              <w:ind w:left="318"/>
              <w:spacing w:before="4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单位税费</w:t>
            </w:r>
          </w:p>
        </w:tc>
      </w:tr>
      <w:tr>
        <w:trPr>
          <w:trHeight w:val="270" w:hRule="atLeast"/>
        </w:trPr>
        <w:tc>
          <w:tcPr>
            <w:tcW w:w="2203" w:type="dxa"/>
            <w:vAlign w:val="top"/>
            <w:gridSpan w:val="3"/>
          </w:tcPr>
          <w:p>
            <w:pPr>
              <w:ind w:left="15"/>
              <w:spacing w:before="57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四、税费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203" w:type="dxa"/>
            <w:vAlign w:val="top"/>
            <w:gridSpan w:val="3"/>
          </w:tcPr>
          <w:p>
            <w:pPr>
              <w:ind w:left="15"/>
              <w:spacing w:before="5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无税出厂价(一十二十三)</w:t>
            </w:r>
          </w:p>
        </w:tc>
        <w:tc>
          <w:tcPr>
            <w:tcW w:w="6577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203" w:type="dxa"/>
            <w:vAlign w:val="top"/>
            <w:gridSpan w:val="3"/>
          </w:tcPr>
          <w:p>
            <w:pPr>
              <w:spacing w:before="55" w:line="20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含税出厂价(一十二+三+四)</w:t>
            </w:r>
          </w:p>
        </w:tc>
        <w:tc>
          <w:tcPr>
            <w:tcW w:w="6577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2203" w:type="dxa"/>
            <w:vAlign w:val="top"/>
            <w:gridSpan w:val="3"/>
          </w:tcPr>
          <w:p>
            <w:pPr>
              <w:ind w:left="15"/>
              <w:spacing w:before="46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五、流通环节差价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7" w:type="dxa"/>
            <w:vAlign w:val="top"/>
            <w:gridSpan w:val="4"/>
          </w:tcPr>
          <w:p>
            <w:pPr>
              <w:ind w:left="544"/>
              <w:spacing w:before="46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拟合销售费用率(%)</w:t>
            </w:r>
          </w:p>
        </w:tc>
        <w:tc>
          <w:tcPr>
            <w:tcW w:w="1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2203" w:type="dxa"/>
            <w:vAlign w:val="top"/>
            <w:gridSpan w:val="3"/>
          </w:tcPr>
          <w:p>
            <w:pPr>
              <w:ind w:left="15"/>
              <w:spacing w:before="55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挂网价(含税出厂价+五)</w:t>
            </w:r>
          </w:p>
        </w:tc>
        <w:tc>
          <w:tcPr>
            <w:tcW w:w="6577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395"/>
        <w:spacing w:before="53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2"/>
        </w:rPr>
        <w:t>填表人：                      负责人：    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传真电话：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left="385"/>
        <w:spacing w:before="5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填表人联系方式：</w:t>
      </w:r>
      <w:r>
        <w:rPr>
          <w:rFonts w:ascii="SimSun" w:hAnsi="SimSun" w:eastAsia="SimSun" w:cs="SimSun"/>
          <w:sz w:val="16"/>
          <w:szCs w:val="16"/>
          <w:spacing w:val="5"/>
        </w:rPr>
        <w:t xml:space="preserve">              </w:t>
      </w:r>
      <w:r>
        <w:rPr>
          <w:rFonts w:ascii="SimSun" w:hAnsi="SimSun" w:eastAsia="SimSun" w:cs="SimSun"/>
          <w:sz w:val="16"/>
          <w:szCs w:val="16"/>
          <w:spacing w:val="9"/>
        </w:rPr>
        <w:t>负责人联系方式：          </w:t>
      </w:r>
      <w:r>
        <w:rPr>
          <w:rFonts w:ascii="SimSun" w:hAnsi="SimSun" w:eastAsia="SimSun" w:cs="SimSun"/>
          <w:sz w:val="16"/>
          <w:szCs w:val="16"/>
          <w:spacing w:val="9"/>
          <w:position w:val="-1"/>
        </w:rPr>
        <w:t>生产企业(公章):</w:t>
      </w:r>
    </w:p>
    <w:p>
      <w:pPr>
        <w:spacing w:line="230" w:lineRule="auto"/>
        <w:sectPr>
          <w:headerReference w:type="default" r:id="rId20"/>
          <w:footerReference w:type="default" r:id="rId21"/>
          <w:pgSz w:w="11910" w:h="16840"/>
          <w:pgMar w:top="400" w:right="1764" w:bottom="1306" w:left="1355" w:header="0" w:footer="901" w:gutter="0"/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255"/>
        <w:spacing w:before="52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b/>
          <w:bCs/>
          <w:spacing w:val="-16"/>
        </w:rPr>
        <w:t>(</w:t>
      </w:r>
      <w:r>
        <w:rPr>
          <w:rFonts w:ascii="SimHei" w:hAnsi="SimHei" w:eastAsia="SimHei" w:cs="SimHei"/>
          <w:sz w:val="16"/>
          <w:szCs w:val="16"/>
          <w:spacing w:val="-31"/>
        </w:rPr>
        <w:t xml:space="preserve"> </w:t>
      </w:r>
      <w:r>
        <w:rPr>
          <w:rFonts w:ascii="SimHei" w:hAnsi="SimHei" w:eastAsia="SimHei" w:cs="SimHei"/>
          <w:sz w:val="16"/>
          <w:szCs w:val="16"/>
          <w:b/>
          <w:bCs/>
          <w:spacing w:val="-16"/>
        </w:rPr>
        <w:t>反</w:t>
      </w:r>
      <w:r>
        <w:rPr>
          <w:rFonts w:ascii="SimHei" w:hAnsi="SimHei" w:eastAsia="SimHei" w:cs="SimHei"/>
          <w:sz w:val="16"/>
          <w:szCs w:val="16"/>
          <w:spacing w:val="-30"/>
        </w:rPr>
        <w:t xml:space="preserve"> </w:t>
      </w:r>
      <w:r>
        <w:rPr>
          <w:rFonts w:ascii="SimHei" w:hAnsi="SimHei" w:eastAsia="SimHei" w:cs="SimHei"/>
          <w:sz w:val="16"/>
          <w:szCs w:val="16"/>
          <w:b/>
          <w:bCs/>
          <w:spacing w:val="-16"/>
        </w:rPr>
        <w:t>面</w:t>
      </w:r>
      <w:r>
        <w:rPr>
          <w:rFonts w:ascii="SimHei" w:hAnsi="SimHei" w:eastAsia="SimHei" w:cs="SimHei"/>
          <w:sz w:val="16"/>
          <w:szCs w:val="16"/>
          <w:spacing w:val="-36"/>
        </w:rPr>
        <w:t xml:space="preserve"> </w:t>
      </w:r>
      <w:r>
        <w:rPr>
          <w:rFonts w:ascii="SimHei" w:hAnsi="SimHei" w:eastAsia="SimHei" w:cs="SimHei"/>
          <w:sz w:val="16"/>
          <w:szCs w:val="16"/>
          <w:b/>
          <w:bCs/>
          <w:spacing w:val="-16"/>
        </w:rPr>
        <w:t>)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503"/>
        <w:spacing w:before="61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3"/>
        </w:rPr>
        <w:t>注：</w:t>
      </w:r>
    </w:p>
    <w:p>
      <w:pPr>
        <w:ind w:left="503"/>
        <w:spacing w:before="32"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9"/>
        </w:rPr>
        <w:t>1.按挂网实际规格填报，同品种多个规格挂网的(含包装数量不同的情形),每</w:t>
      </w:r>
      <w:r>
        <w:rPr>
          <w:rFonts w:ascii="SimSun" w:hAnsi="SimSun" w:eastAsia="SimSun" w:cs="SimSun"/>
          <w:sz w:val="16"/>
          <w:szCs w:val="16"/>
          <w:spacing w:val="18"/>
        </w:rPr>
        <w:t>个规格独立填报；</w:t>
      </w:r>
    </w:p>
    <w:p>
      <w:pPr>
        <w:ind w:left="503" w:right="366"/>
        <w:spacing w:before="74" w:line="27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3"/>
        </w:rPr>
        <w:t>2.上市许可持有人因经营模式需要，同时存在出厂价“低开”和出厂价“高开”两种情形的，每个 </w:t>
      </w:r>
      <w:r>
        <w:rPr>
          <w:rFonts w:ascii="SimSun" w:hAnsi="SimSun" w:eastAsia="SimSun" w:cs="SimSun"/>
          <w:sz w:val="16"/>
          <w:szCs w:val="16"/>
          <w:spacing w:val="6"/>
        </w:rPr>
        <w:t>出厂价独立填报；</w:t>
      </w:r>
    </w:p>
    <w:p>
      <w:pPr>
        <w:ind w:left="503" w:right="366"/>
        <w:spacing w:before="62" w:line="273" w:lineRule="auto"/>
        <w:tabs>
          <w:tab w:val="left" w:pos="602"/>
        </w:tabs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3"/>
        </w:rPr>
        <w:t>3.本表关于规格、产能、销量、成本、费用和物耗等各项信息，片剂、胶囊剂按最小零售包装填报</w:t>
      </w:r>
      <w:r>
        <w:rPr>
          <w:rFonts w:ascii="SimSun" w:hAnsi="SimSun" w:eastAsia="SimSun" w:cs="SimSun"/>
          <w:sz w:val="16"/>
          <w:szCs w:val="16"/>
          <w:spacing w:val="14"/>
        </w:rPr>
        <w:t xml:space="preserve"> </w:t>
      </w:r>
      <w:r>
        <w:rPr>
          <w:rFonts w:ascii="SimSun" w:hAnsi="SimSun" w:eastAsia="SimSun" w:cs="SimSun"/>
          <w:sz w:val="16"/>
          <w:szCs w:val="16"/>
        </w:rPr>
        <w:tab/>
      </w:r>
      <w:r>
        <w:rPr>
          <w:rFonts w:ascii="SimSun" w:hAnsi="SimSun" w:eastAsia="SimSun" w:cs="SimSun"/>
          <w:sz w:val="16"/>
          <w:szCs w:val="16"/>
          <w:spacing w:val="14"/>
        </w:rPr>
        <w:t>(如每盒、每瓶);其他剂型如注射剂、溶液剂、颗粒剂、贴剂等，按最小制剂单位填报(如每支、</w:t>
      </w:r>
      <w:r>
        <w:rPr>
          <w:rFonts w:ascii="SimSun" w:hAnsi="SimSun" w:eastAsia="SimSun" w:cs="SimSun"/>
          <w:sz w:val="16"/>
          <w:szCs w:val="16"/>
          <w:spacing w:val="3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23"/>
        </w:rPr>
        <w:t>每瓶、每袋、每贴等);</w:t>
      </w:r>
    </w:p>
    <w:p>
      <w:pPr>
        <w:ind w:left="503" w:right="367"/>
        <w:spacing w:before="68" w:line="271" w:lineRule="auto"/>
        <w:rPr>
          <w:rFonts w:ascii="SimSun" w:hAnsi="SimSun" w:eastAsia="SimSun" w:cs="SimSu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10"/>
        </w:rPr>
        <w:t>4.</w:t>
      </w:r>
      <w:r>
        <w:rPr>
          <w:rFonts w:ascii="SimSun" w:hAnsi="SimSun" w:eastAsia="SimSun" w:cs="SimSun"/>
          <w:sz w:val="16"/>
          <w:szCs w:val="16"/>
          <w:spacing w:val="10"/>
        </w:rPr>
        <w:t>拟合销售费用率=[8、销售费用+流通环节差价×</w:t>
      </w:r>
      <w:r>
        <w:rPr>
          <w:rFonts w:ascii="Times New Roman" w:hAnsi="Times New Roman" w:eastAsia="Times New Roman" w:cs="Times New Roman"/>
          <w:sz w:val="16"/>
          <w:szCs w:val="16"/>
        </w:rPr>
        <w:t>Max</w:t>
      </w:r>
      <w:r>
        <w:rPr>
          <w:rFonts w:ascii="SimSun" w:hAnsi="SimSun" w:eastAsia="SimSun" w:cs="SimSun"/>
          <w:sz w:val="16"/>
          <w:szCs w:val="16"/>
          <w:spacing w:val="10"/>
        </w:rPr>
        <w:t>(五、流通环节差价/四、含税出厂价</w:t>
      </w:r>
      <w:r>
        <w:rPr>
          <w:rFonts w:ascii="SimSun" w:hAnsi="SimSun" w:eastAsia="SimSun" w:cs="SimSun"/>
          <w:sz w:val="16"/>
          <w:szCs w:val="16"/>
          <w:spacing w:val="9"/>
        </w:rPr>
        <w:t>-10%,0)/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2"/>
        </w:rPr>
        <w:t>挂网价；</w:t>
      </w:r>
    </w:p>
    <w:p>
      <w:pPr>
        <w:ind w:left="503"/>
        <w:spacing w:before="71" w:line="21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2"/>
        </w:rPr>
        <w:t>5.生产制造成本方面如有其他问题需要说明的，请另页补充。</w:t>
      </w:r>
    </w:p>
    <w:sectPr>
      <w:footerReference w:type="default" r:id="rId22"/>
      <w:pgSz w:w="11910" w:h="16840"/>
      <w:pgMar w:top="400" w:right="1786" w:bottom="1447" w:left="1786" w:header="0" w:footer="10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—3—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—12—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—13—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—14—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—15—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—16—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—17—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"/>
        <w:w w:val="10"/>
      </w:rPr>
      <w:t>—</w:t>
    </w:r>
    <w:r>
      <w:rPr>
        <w:rFonts w:ascii="SimSun" w:hAnsi="SimSun" w:eastAsia="SimSun" w:cs="SimSun"/>
        <w:sz w:val="30"/>
        <w:szCs w:val="30"/>
        <w:spacing w:val="16"/>
      </w:rPr>
      <w:t xml:space="preserve">  </w:t>
    </w:r>
    <w:r>
      <w:rPr>
        <w:rFonts w:ascii="SimSun" w:hAnsi="SimSun" w:eastAsia="SimSun" w:cs="SimSun"/>
        <w:sz w:val="30"/>
        <w:szCs w:val="30"/>
        <w:spacing w:val="-12"/>
      </w:rPr>
      <w:t>18—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63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—19—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—20—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75"/>
      <w:spacing w:line="23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7"/>
        <w:w w:val="45"/>
      </w:rPr>
      <w:t>—</w:t>
    </w:r>
    <w:r>
      <w:rPr>
        <w:rFonts w:ascii="SimSun" w:hAnsi="SimSun" w:eastAsia="SimSun" w:cs="SimSun"/>
        <w:sz w:val="31"/>
        <w:szCs w:val="31"/>
        <w:spacing w:val="123"/>
      </w:rPr>
      <w:t xml:space="preserve"> </w:t>
    </w:r>
    <w:r>
      <w:rPr>
        <w:rFonts w:ascii="SimSun" w:hAnsi="SimSun" w:eastAsia="SimSun" w:cs="SimSun"/>
        <w:sz w:val="31"/>
        <w:szCs w:val="31"/>
        <w:spacing w:val="-6"/>
      </w:rPr>
      <w:t>21—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0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0"/>
        <w:w w:val="65"/>
      </w:rPr>
      <w:t>—</w:t>
    </w:r>
    <w:r>
      <w:rPr>
        <w:rFonts w:ascii="SimSun" w:hAnsi="SimSun" w:eastAsia="SimSun" w:cs="SimSun"/>
        <w:sz w:val="30"/>
        <w:szCs w:val="30"/>
        <w:spacing w:val="145"/>
      </w:rPr>
      <w:t xml:space="preserve"> </w:t>
    </w:r>
    <w:r>
      <w:rPr>
        <w:rFonts w:ascii="SimSun" w:hAnsi="SimSun" w:eastAsia="SimSun" w:cs="SimSun"/>
        <w:sz w:val="30"/>
        <w:szCs w:val="30"/>
        <w:spacing w:val="-6"/>
      </w:rPr>
      <w:t>4—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3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6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7"/>
        <w:w w:val="46"/>
      </w:rPr>
      <w:t>—</w:t>
    </w:r>
    <w:r>
      <w:rPr>
        <w:rFonts w:ascii="SimSun" w:hAnsi="SimSun" w:eastAsia="SimSun" w:cs="SimSun"/>
        <w:sz w:val="30"/>
        <w:szCs w:val="30"/>
        <w:spacing w:val="146"/>
      </w:rPr>
      <w:t xml:space="preserve"> </w:t>
    </w:r>
    <w:r>
      <w:rPr>
        <w:rFonts w:ascii="SimSun" w:hAnsi="SimSun" w:eastAsia="SimSun" w:cs="SimSun"/>
        <w:sz w:val="30"/>
        <w:szCs w:val="30"/>
        <w:spacing w:val="-8"/>
      </w:rPr>
      <w:t>5—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—6—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9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6"/>
        <w:w w:val="39"/>
      </w:rPr>
      <w:t>—</w:t>
    </w:r>
    <w:r>
      <w:rPr>
        <w:rFonts w:ascii="SimSun" w:hAnsi="SimSun" w:eastAsia="SimSun" w:cs="SimSun"/>
        <w:sz w:val="30"/>
        <w:szCs w:val="30"/>
        <w:spacing w:val="3"/>
      </w:rPr>
      <w:t xml:space="preserve">  </w:t>
    </w:r>
    <w:r>
      <w:rPr>
        <w:rFonts w:ascii="SimSun" w:hAnsi="SimSun" w:eastAsia="SimSun" w:cs="SimSun"/>
        <w:sz w:val="30"/>
        <w:szCs w:val="30"/>
        <w:spacing w:val="-9"/>
      </w:rPr>
      <w:t>7—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4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—8—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24"/>
      <w:spacing w:line="23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8"/>
        <w:w w:val="52"/>
      </w:rPr>
      <w:t>—</w:t>
    </w:r>
    <w:r>
      <w:rPr>
        <w:rFonts w:ascii="SimSun" w:hAnsi="SimSun" w:eastAsia="SimSun" w:cs="SimSun"/>
        <w:sz w:val="29"/>
        <w:szCs w:val="29"/>
        <w:spacing w:val="142"/>
      </w:rPr>
      <w:t xml:space="preserve"> </w:t>
    </w:r>
    <w:r>
      <w:rPr>
        <w:rFonts w:ascii="SimSun" w:hAnsi="SimSun" w:eastAsia="SimSun" w:cs="SimSun"/>
        <w:sz w:val="29"/>
        <w:szCs w:val="29"/>
        <w:spacing w:val="-7"/>
      </w:rPr>
      <w:t>9—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—10—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0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—11—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112.502pt;margin-top:205.002pt;mso-position-vertical-relative:page;mso-position-horizontal-relative:page;width:393.55pt;height:525.55pt;z-index:-251658240;" o:allowincell="f" filled="false" stroked="false" type="#_x0000_t75">
          <v:imagedata o:title="" r:id="rId1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Hei" w:hAnsi="SimHei" w:eastAsia="SimHei" w:cs="SimHei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header" Target="header2.xml"/><Relationship Id="rId2" Type="http://schemas.openxmlformats.org/officeDocument/2006/relationships/footer" Target="footer2.xml"/><Relationship Id="rId19" Type="http://schemas.openxmlformats.org/officeDocument/2006/relationships/footer" Target="footer18.xml"/><Relationship Id="rId18" Type="http://schemas.openxmlformats.org/officeDocument/2006/relationships/header" Target="header1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2025-04-28T08:51:07Z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2025-04-28T08:51:09</vt:filetime>
  </property>
  <property fmtid="{D5CDD505-2E9C-101B-9397-08002B2CF9AE}" pid="4" name="UsrData">
    <vt:lpwstr>680ed0f71ddca0001f88c3dawl</vt:lpwstr>
  </property>
</Properties>
</file>